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color w:val="4472C4" w:themeColor="accent1"/>
          <w14:textFill>
            <w14:solidFill>
              <w14:schemeClr w14:val="accent1"/>
            </w14:solidFill>
          </w14:textFill>
        </w:rPr>
        <w:id w:val="-2109189871"/>
      </w:sdtPr>
      <w:sdtEndPr>
        <w:rPr>
          <w:color w:val="auto"/>
          <w:lang w:val="zh-CN"/>
        </w:rPr>
      </w:sdtEndPr>
      <w:sdtContent>
        <w:p w14:paraId="65DC3F61">
          <w:pPr>
            <w:rPr>
              <w:rFonts w:hint="eastAsia"/>
            </w:rPr>
          </w:pPr>
          <w:r>
            <mc:AlternateContent>
              <mc:Choice Requires="wps">
                <w:drawing>
                  <wp:anchor distT="45720" distB="45720" distL="114300" distR="114300" simplePos="0" relativeHeight="251663360" behindDoc="0" locked="0" layoutInCell="1" allowOverlap="1">
                    <wp:simplePos x="0" y="0"/>
                    <wp:positionH relativeFrom="column">
                      <wp:posOffset>-133350</wp:posOffset>
                    </wp:positionH>
                    <wp:positionV relativeFrom="paragraph">
                      <wp:posOffset>381000</wp:posOffset>
                    </wp:positionV>
                    <wp:extent cx="6257925" cy="1404620"/>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257925" cy="1404620"/>
                            </a:xfrm>
                            <a:prstGeom prst="rect">
                              <a:avLst/>
                            </a:prstGeom>
                            <a:noFill/>
                            <a:ln w="9525">
                              <a:noFill/>
                              <a:miter lim="800000"/>
                            </a:ln>
                          </wps:spPr>
                          <wps:txbx>
                            <w:txbxContent>
                              <w:p w14:paraId="3FF9D604">
                                <w:pPr>
                                  <w:spacing w:line="240" w:lineRule="auto"/>
                                  <w:jc w:val="right"/>
                                  <w:rPr>
                                    <w:rFonts w:hint="eastAsia" w:ascii="思源黑体 CN Heavy" w:hAnsi="思源黑体 CN Heavy" w:eastAsia="思源黑体 CN Heavy"/>
                                    <w:sz w:val="84"/>
                                    <w:szCs w:val="84"/>
                                  </w:rPr>
                                </w:pPr>
                                <w:r>
                                  <w:rPr>
                                    <w:rFonts w:hint="eastAsia" w:ascii="思源黑体 CN Heavy" w:hAnsi="思源黑体 CN Heavy" w:eastAsia="思源黑体 CN Heavy"/>
                                    <w:sz w:val="84"/>
                                    <w:szCs w:val="84"/>
                                  </w:rPr>
                                  <w:t>临沂艺术学校</w:t>
                                </w:r>
                              </w:p>
                              <w:p w14:paraId="6E942B85">
                                <w:pPr>
                                  <w:spacing w:line="240" w:lineRule="auto"/>
                                  <w:jc w:val="right"/>
                                  <w:rPr>
                                    <w:rFonts w:hint="eastAsia" w:ascii="思源黑体 CN Heavy" w:hAnsi="思源黑体 CN Heavy" w:eastAsia="思源黑体 CN Heavy"/>
                                    <w:sz w:val="84"/>
                                    <w:szCs w:val="84"/>
                                  </w:rPr>
                                </w:pPr>
                                <w:r>
                                  <w:rPr>
                                    <w:rFonts w:hint="eastAsia" w:ascii="思源黑体 CN Heavy" w:hAnsi="思源黑体 CN Heavy" w:eastAsia="思源黑体 CN Heavy"/>
                                    <w:sz w:val="84"/>
                                    <w:szCs w:val="84"/>
                                  </w:rPr>
                                  <w:t>2</w:t>
                                </w:r>
                                <w:r>
                                  <w:rPr>
                                    <w:rFonts w:ascii="思源黑体 CN Heavy" w:hAnsi="思源黑体 CN Heavy" w:eastAsia="思源黑体 CN Heavy"/>
                                    <w:sz w:val="84"/>
                                    <w:szCs w:val="84"/>
                                  </w:rPr>
                                  <w:t>02</w:t>
                                </w:r>
                                <w:r>
                                  <w:rPr>
                                    <w:rFonts w:hint="eastAsia" w:ascii="思源黑体 CN Heavy" w:hAnsi="思源黑体 CN Heavy" w:eastAsia="思源黑体 CN Heavy"/>
                                    <w:sz w:val="84"/>
                                    <w:szCs w:val="84"/>
                                    <w:lang w:val="en-US" w:eastAsia="zh-CN"/>
                                  </w:rPr>
                                  <w:t>5</w:t>
                                </w:r>
                                <w:r>
                                  <w:rPr>
                                    <w:rFonts w:hint="eastAsia" w:ascii="思源黑体 CN Heavy" w:hAnsi="思源黑体 CN Heavy" w:eastAsia="思源黑体 CN Heavy"/>
                                    <w:sz w:val="84"/>
                                    <w:szCs w:val="84"/>
                                  </w:rPr>
                                  <w:t>年度教育质量报告</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0.5pt;margin-top:30pt;height:110.6pt;width:492.75pt;mso-wrap-distance-bottom:3.6pt;mso-wrap-distance-left:9pt;mso-wrap-distance-right:9pt;mso-wrap-distance-top:3.6pt;z-index:251663360;mso-width-relative:page;mso-height-relative:margin;mso-height-percent:200;" filled="f" stroked="f" coordsize="21600,21600" o:gfxdata="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q2G3F2AAAAAoBAAAPAAAAAAAAAAEAIAAAACIAAABkcnMvZG93bnJldi54bWxQSwECFAAUAAAA&#10;CACHTuJAXXzy1ycCAAAsBAAADgAAAAAAAAABACAAAAAnAQAAZHJzL2Uyb0RvYy54bWxQSwUGAAAA&#10;AAYABgBZAQAAwAUAAAAA&#10;">
                    <v:fill on="f" focussize="0,0"/>
                    <v:stroke on="f" miterlimit="8" joinstyle="miter"/>
                    <v:imagedata o:title=""/>
                    <o:lock v:ext="edit" aspectratio="f"/>
                    <v:textbox style="mso-fit-shape-to-text:t;">
                      <w:txbxContent>
                        <w:p w14:paraId="3FF9D604">
                          <w:pPr>
                            <w:spacing w:line="240" w:lineRule="auto"/>
                            <w:jc w:val="right"/>
                            <w:rPr>
                              <w:rFonts w:hint="eastAsia" w:ascii="思源黑体 CN Heavy" w:hAnsi="思源黑体 CN Heavy" w:eastAsia="思源黑体 CN Heavy"/>
                              <w:sz w:val="84"/>
                              <w:szCs w:val="84"/>
                            </w:rPr>
                          </w:pPr>
                          <w:r>
                            <w:rPr>
                              <w:rFonts w:hint="eastAsia" w:ascii="思源黑体 CN Heavy" w:hAnsi="思源黑体 CN Heavy" w:eastAsia="思源黑体 CN Heavy"/>
                              <w:sz w:val="84"/>
                              <w:szCs w:val="84"/>
                            </w:rPr>
                            <w:t>临沂艺术学校</w:t>
                          </w:r>
                        </w:p>
                        <w:p w14:paraId="6E942B85">
                          <w:pPr>
                            <w:spacing w:line="240" w:lineRule="auto"/>
                            <w:jc w:val="right"/>
                            <w:rPr>
                              <w:rFonts w:hint="eastAsia" w:ascii="思源黑体 CN Heavy" w:hAnsi="思源黑体 CN Heavy" w:eastAsia="思源黑体 CN Heavy"/>
                              <w:sz w:val="84"/>
                              <w:szCs w:val="84"/>
                            </w:rPr>
                          </w:pPr>
                          <w:r>
                            <w:rPr>
                              <w:rFonts w:hint="eastAsia" w:ascii="思源黑体 CN Heavy" w:hAnsi="思源黑体 CN Heavy" w:eastAsia="思源黑体 CN Heavy"/>
                              <w:sz w:val="84"/>
                              <w:szCs w:val="84"/>
                            </w:rPr>
                            <w:t>2</w:t>
                          </w:r>
                          <w:r>
                            <w:rPr>
                              <w:rFonts w:ascii="思源黑体 CN Heavy" w:hAnsi="思源黑体 CN Heavy" w:eastAsia="思源黑体 CN Heavy"/>
                              <w:sz w:val="84"/>
                              <w:szCs w:val="84"/>
                            </w:rPr>
                            <w:t>02</w:t>
                          </w:r>
                          <w:r>
                            <w:rPr>
                              <w:rFonts w:hint="eastAsia" w:ascii="思源黑体 CN Heavy" w:hAnsi="思源黑体 CN Heavy" w:eastAsia="思源黑体 CN Heavy"/>
                              <w:sz w:val="84"/>
                              <w:szCs w:val="84"/>
                              <w:lang w:val="en-US" w:eastAsia="zh-CN"/>
                            </w:rPr>
                            <w:t>5</w:t>
                          </w:r>
                          <w:r>
                            <w:rPr>
                              <w:rFonts w:hint="eastAsia" w:ascii="思源黑体 CN Heavy" w:hAnsi="思源黑体 CN Heavy" w:eastAsia="思源黑体 CN Heavy"/>
                              <w:sz w:val="84"/>
                              <w:szCs w:val="84"/>
                            </w:rPr>
                            <w:t>年度教育质量报告</w:t>
                          </w:r>
                        </w:p>
                      </w:txbxContent>
                    </v:textbox>
                    <w10:wrap type="square"/>
                  </v:shape>
                </w:pict>
              </mc:Fallback>
            </mc:AlternateContent>
          </w:r>
          <w:r>
            <w:rPr>
              <w:rFonts w:hint="eastAsia"/>
            </w:rPr>
            <w:drawing>
              <wp:anchor distT="0" distB="0" distL="114300" distR="114300" simplePos="0" relativeHeight="251662336" behindDoc="1" locked="0" layoutInCell="1" allowOverlap="1">
                <wp:simplePos x="0" y="0"/>
                <wp:positionH relativeFrom="column">
                  <wp:posOffset>-1169035</wp:posOffset>
                </wp:positionH>
                <wp:positionV relativeFrom="paragraph">
                  <wp:posOffset>-949325</wp:posOffset>
                </wp:positionV>
                <wp:extent cx="7594600" cy="10742295"/>
                <wp:effectExtent l="0" t="0" r="6350" b="1905"/>
                <wp:wrapNone/>
                <wp:docPr id="3" name="图片 3" descr="封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封面2"/>
                        <pic:cNvPicPr>
                          <a:picLocks noChangeAspect="1"/>
                        </pic:cNvPicPr>
                      </pic:nvPicPr>
                      <pic:blipFill>
                        <a:blip r:embed="rId9"/>
                        <a:stretch>
                          <a:fillRect/>
                        </a:stretch>
                      </pic:blipFill>
                      <pic:spPr>
                        <a:xfrm>
                          <a:off x="0" y="0"/>
                          <a:ext cx="7594600" cy="10742295"/>
                        </a:xfrm>
                        <a:prstGeom prst="rect">
                          <a:avLst/>
                        </a:prstGeom>
                      </pic:spPr>
                    </pic:pic>
                  </a:graphicData>
                </a:graphic>
              </wp:anchor>
            </w:drawing>
          </w:r>
        </w:p>
        <w:p w14:paraId="4D785669">
          <w:pPr>
            <w:rPr>
              <w:rFonts w:hint="eastAsia"/>
            </w:rPr>
          </w:pPr>
        </w:p>
        <w:p w14:paraId="1C97E2BF">
          <w:pPr>
            <w:rPr>
              <w:rFonts w:hint="eastAsia"/>
            </w:rPr>
          </w:pPr>
        </w:p>
        <w:p w14:paraId="09E282BF">
          <w:pPr>
            <w:rPr>
              <w:rFonts w:hint="eastAsia"/>
            </w:rPr>
          </w:pPr>
        </w:p>
        <w:p w14:paraId="51BE8631">
          <w:pPr>
            <w:rPr>
              <w:rFonts w:hint="eastAsia"/>
            </w:rPr>
          </w:pPr>
        </w:p>
        <w:p w14:paraId="152EF778">
          <w:pPr>
            <w:rPr>
              <w:rFonts w:hint="eastAsia"/>
            </w:rPr>
          </w:pPr>
        </w:p>
        <w:p w14:paraId="45D87F20">
          <w:pPr>
            <w:rPr>
              <w:rFonts w:hint="eastAsia"/>
            </w:rPr>
          </w:pPr>
        </w:p>
        <w:p w14:paraId="1D91C1DF">
          <w:pPr>
            <w:rPr>
              <w:rFonts w:hint="eastAsia"/>
            </w:rPr>
          </w:pPr>
        </w:p>
        <w:p w14:paraId="7BC75A48">
          <w:pPr>
            <w:rPr>
              <w:rFonts w:hint="eastAsia"/>
            </w:rPr>
          </w:pPr>
        </w:p>
        <w:p w14:paraId="29DF66EE">
          <w:pPr>
            <w:rPr>
              <w:rFonts w:hint="eastAsia"/>
            </w:rPr>
          </w:pPr>
        </w:p>
        <w:p w14:paraId="7A7C8C27">
          <w:pPr>
            <w:rPr>
              <w:rFonts w:hint="eastAsia"/>
            </w:rPr>
          </w:pPr>
        </w:p>
        <w:p w14:paraId="1719B041">
          <w:pPr>
            <w:rPr>
              <w:rFonts w:hint="eastAsia"/>
            </w:rPr>
          </w:pPr>
        </w:p>
        <w:p w14:paraId="4F8B594C">
          <w:pPr>
            <w:rPr>
              <w:rFonts w:hint="eastAsia"/>
            </w:rPr>
          </w:pPr>
        </w:p>
        <w:p w14:paraId="2FED8E7A">
          <w:pPr>
            <w:rPr>
              <w:rFonts w:hint="eastAsia"/>
            </w:rPr>
          </w:pPr>
        </w:p>
        <w:p w14:paraId="477FBE4E">
          <w:pPr>
            <w:widowControl/>
            <w:spacing w:line="240" w:lineRule="auto"/>
            <w:rPr>
              <w:rFonts w:hint="eastAsia" w:ascii="方正小标宋简体" w:hAnsi="黑体" w:eastAsia="方正小标宋简体"/>
              <w:sz w:val="52"/>
              <w:szCs w:val="52"/>
            </w:rPr>
          </w:pPr>
        </w:p>
        <w:p w14:paraId="0AB483F7">
          <w:pPr>
            <w:widowControl/>
            <w:spacing w:line="240" w:lineRule="auto"/>
            <w:jc w:val="left"/>
            <w:rPr>
              <w:rFonts w:hint="eastAsia" w:ascii="汉仪中黑S" w:eastAsia="汉仪中黑S"/>
            </w:rPr>
          </w:pPr>
          <w:r>
            <w:rPr>
              <w:rFonts w:ascii="汉仪中黑S" w:eastAsia="汉仪中黑S"/>
            </w:rPr>
            <w:br w:type="page"/>
          </w:r>
        </w:p>
        <w:p w14:paraId="4A375519">
          <w:pPr>
            <w:jc w:val="center"/>
            <w:rPr>
              <w:rFonts w:hint="eastAsia" w:ascii="方正小标宋简体" w:hAnsi="方正小标宋简体" w:eastAsia="方正小标宋简体" w:cs="方正小标宋简体"/>
              <w:sz w:val="44"/>
              <w:szCs w:val="72"/>
            </w:rPr>
          </w:pPr>
          <w:r>
            <w:rPr>
              <w:rFonts w:hint="eastAsia" w:ascii="方正小标宋简体" w:hAnsi="方正小标宋简体" w:eastAsia="方正小标宋简体" w:cs="方正小标宋简体"/>
              <w:sz w:val="44"/>
              <w:szCs w:val="72"/>
            </w:rPr>
            <w:t>前 言</w:t>
          </w:r>
        </w:p>
        <w:p w14:paraId="47C88D07">
          <w:pPr>
            <w:widowControl/>
            <w:ind w:firstLine="640" w:firstLineChars="200"/>
            <w:rPr>
              <w:rFonts w:hint="eastAsia" w:hAnsi="仿宋_GB2312" w:cs="仿宋_GB2312"/>
              <w:szCs w:val="32"/>
            </w:rPr>
          </w:pPr>
          <w:r>
            <w:rPr>
              <w:rFonts w:hint="eastAsia" w:hAnsi="仿宋_GB2312" w:cs="仿宋_GB2312"/>
              <w:szCs w:val="32"/>
            </w:rPr>
            <w:t>临沂艺术学校创建于1976年，隶属于临沂市教育局管理，从最早的文艺班发展成现在的国家级重点中等艺术学校、省级规范化学校。学校位于沂河新区临沂科教创新城，占地215亩，总建筑面积规划10万平方米（其中一期已完成建筑面积6万多平方米），202</w:t>
          </w:r>
          <w:r>
            <w:rPr>
              <w:rFonts w:hint="eastAsia" w:hAnsi="仿宋_GB2312" w:cs="仿宋_GB2312"/>
              <w:szCs w:val="32"/>
              <w:lang w:val="en-US" w:eastAsia="zh-CN"/>
            </w:rPr>
            <w:t>5</w:t>
          </w:r>
          <w:r>
            <w:rPr>
              <w:rFonts w:hint="eastAsia" w:hAnsi="仿宋_GB2312" w:cs="仿宋_GB2312"/>
              <w:szCs w:val="32"/>
            </w:rPr>
            <w:t>年全日制在校生</w:t>
          </w:r>
          <w:r>
            <w:rPr>
              <w:rFonts w:hint="eastAsia" w:hAnsi="仿宋_GB2312" w:cs="仿宋_GB2312"/>
              <w:szCs w:val="32"/>
              <w:lang w:val="en-US" w:eastAsia="zh-CN"/>
            </w:rPr>
            <w:t>3153</w:t>
          </w:r>
          <w:r>
            <w:rPr>
              <w:rFonts w:hint="eastAsia" w:hAnsi="仿宋_GB2312" w:cs="仿宋_GB2312"/>
              <w:szCs w:val="32"/>
            </w:rPr>
            <w:t>人。</w:t>
          </w:r>
        </w:p>
        <w:p w14:paraId="73D7236D">
          <w:pPr>
            <w:widowControl/>
            <w:ind w:firstLine="640" w:firstLineChars="200"/>
            <w:rPr>
              <w:rFonts w:hint="eastAsia" w:hAnsi="仿宋_GB2312" w:cs="仿宋_GB2312"/>
              <w:szCs w:val="32"/>
            </w:rPr>
          </w:pPr>
          <w:r>
            <w:rPr>
              <w:rFonts w:hint="eastAsia" w:hAnsi="仿宋_GB2312" w:cs="仿宋_GB2312"/>
              <w:szCs w:val="32"/>
            </w:rPr>
            <w:t>学校现开设三二连读专科、夏季高考、春季高考三个办学层次，设置舞蹈表演、音乐表演、绘画、播音与主持、幼儿保育、旅游服务与管理、数字影像技术、艺术设计与制作、文物保护技术、直播电商服务、戏曲表演等11个专业方向。与临沂职业学院</w:t>
          </w:r>
          <w:r>
            <w:rPr>
              <w:rFonts w:hint="eastAsia" w:hAnsi="仿宋_GB2312" w:cs="仿宋_GB2312"/>
              <w:szCs w:val="32"/>
              <w:lang w:eastAsia="zh-CN"/>
            </w:rPr>
            <w:t>、山东省文化艺术职业学院</w:t>
          </w:r>
          <w:r>
            <w:rPr>
              <w:rFonts w:hint="eastAsia" w:hAnsi="仿宋_GB2312" w:cs="仿宋_GB2312"/>
              <w:szCs w:val="32"/>
            </w:rPr>
            <w:t>联合办学开办3+2大专班，与韩国水原大学、马来西亚苏丹伊德里斯教育大学等高校签订战略合作协议。</w:t>
          </w:r>
        </w:p>
        <w:p w14:paraId="1F76FD4B">
          <w:pPr>
            <w:widowControl/>
            <w:ind w:firstLine="640" w:firstLineChars="200"/>
            <w:rPr>
              <w:rFonts w:hint="eastAsia" w:hAnsi="仿宋_GB2312" w:cs="仿宋_GB2312"/>
              <w:szCs w:val="32"/>
            </w:rPr>
          </w:pPr>
          <w:r>
            <w:rPr>
              <w:rFonts w:hint="eastAsia" w:hAnsi="仿宋_GB2312" w:cs="仿宋_GB2312"/>
              <w:szCs w:val="32"/>
            </w:rPr>
            <w:t>学校遵循“崇德守信 笃学精艺”的校训、“团结 自信 勤奋 担当”的校风，秉持“让每个学生都出彩”的办学理念，以“立足临沂，服务山东，建设全国一流高水平艺术职业学校”为目标，严格落实立德树人的根本任务，已发展成为一所学科专业齐全、教学特色鲜明的知名国办艺术类学校。202</w:t>
          </w:r>
          <w:r>
            <w:rPr>
              <w:rFonts w:hint="eastAsia" w:hAnsi="仿宋_GB2312" w:cs="仿宋_GB2312"/>
              <w:szCs w:val="32"/>
              <w:lang w:val="en-US" w:eastAsia="zh-CN"/>
            </w:rPr>
            <w:t>4</w:t>
          </w:r>
          <w:r>
            <w:rPr>
              <w:rFonts w:hint="eastAsia" w:hAnsi="仿宋_GB2312" w:cs="仿宋_GB2312"/>
              <w:szCs w:val="32"/>
            </w:rPr>
            <w:t>-202</w:t>
          </w:r>
          <w:r>
            <w:rPr>
              <w:rFonts w:hint="eastAsia" w:hAnsi="仿宋_GB2312" w:cs="仿宋_GB2312"/>
              <w:szCs w:val="32"/>
              <w:lang w:val="en-US" w:eastAsia="zh-CN"/>
            </w:rPr>
            <w:t>5</w:t>
          </w:r>
          <w:r>
            <w:rPr>
              <w:rFonts w:hint="eastAsia" w:hAnsi="仿宋_GB2312" w:cs="仿宋_GB2312"/>
              <w:szCs w:val="32"/>
            </w:rPr>
            <w:t>学年，学校坚持以习近平新时代中国特色社会主义为指导，深入学习贯彻党的二十大和二十届二中、三中全会精神，坚持以习近平新时代中国特色社会主义思想为指导，以党建工作为统领，以教育教学为中心，立足新起点，抢抓新机遇，塑造新形象，展现新作为，努力建设一流班子，打造一流队伍，创造一流业绩，锻炼一流作风，创造一流业绩，</w:t>
          </w:r>
          <w:r>
            <w:rPr>
              <w:rFonts w:hint="eastAsia"/>
              <w:szCs w:val="32"/>
            </w:rPr>
            <w:t>按照“11234”总体工作思路，全力推动临沂艺术学校教育教学工作上台阶、上水平</w:t>
          </w:r>
          <w:r>
            <w:rPr>
              <w:rFonts w:hint="eastAsia" w:hAnsi="仿宋_GB2312" w:cs="仿宋_GB2312"/>
              <w:szCs w:val="32"/>
            </w:rPr>
            <w:t>。</w:t>
          </w:r>
          <w:r>
            <w:rPr>
              <w:rFonts w:hAnsi="仿宋_GB2312" w:cs="仿宋_GB2312"/>
              <w:szCs w:val="32"/>
            </w:rPr>
            <w:br w:type="page"/>
          </w:r>
        </w:p>
      </w:sdtContent>
    </w:sdt>
    <w:sdt>
      <w:sdtPr>
        <w:rPr>
          <w:rFonts w:ascii="仿宋_GB2312" w:eastAsia="仿宋_GB2312" w:hAnsiTheme="minorHAnsi" w:cstheme="minorBidi"/>
          <w:color w:val="auto"/>
          <w:kern w:val="2"/>
          <w:szCs w:val="24"/>
          <w:lang w:val="zh-CN"/>
        </w:rPr>
        <w:id w:val="-1825965412"/>
        <w:docPartObj>
          <w:docPartGallery w:val="Table of Contents"/>
          <w:docPartUnique/>
        </w:docPartObj>
      </w:sdtPr>
      <w:sdtEndPr>
        <w:rPr>
          <w:rFonts w:ascii="仿宋_GB2312" w:eastAsia="仿宋_GB2312" w:hAnsiTheme="minorHAnsi" w:cstheme="minorBidi"/>
          <w:b/>
          <w:bCs/>
          <w:color w:val="auto"/>
          <w:kern w:val="2"/>
          <w:szCs w:val="24"/>
          <w:lang w:val="zh-CN"/>
        </w:rPr>
      </w:sdtEndPr>
      <w:sdtContent>
        <w:p w14:paraId="32DFE0EB">
          <w:pPr>
            <w:pStyle w:val="23"/>
            <w:keepNext w:val="0"/>
            <w:keepLines w:val="0"/>
            <w:jc w:val="center"/>
            <w:rPr>
              <w:rFonts w:hint="eastAsia" w:ascii="仿宋_GB2312" w:eastAsia="仿宋_GB2312"/>
              <w:b/>
              <w:bCs/>
              <w:color w:val="auto"/>
            </w:rPr>
          </w:pPr>
          <w:r>
            <w:rPr>
              <w:rFonts w:hint="eastAsia" w:ascii="仿宋_GB2312" w:eastAsia="仿宋_GB2312"/>
              <w:b/>
              <w:bCs/>
              <w:color w:val="auto"/>
              <w:lang w:val="zh-CN"/>
            </w:rPr>
            <w:t>目录</w:t>
          </w:r>
        </w:p>
        <w:p w14:paraId="51C45376">
          <w:pPr>
            <w:pStyle w:val="11"/>
            <w:tabs>
              <w:tab w:val="left" w:pos="840"/>
              <w:tab w:val="right" w:leader="dot" w:pos="8720"/>
            </w:tabs>
            <w:rPr>
              <w:rFonts w:hint="eastAsia" w:asciiTheme="minorHAnsi" w:eastAsiaTheme="minorEastAsia"/>
              <w:sz w:val="21"/>
              <w:szCs w:val="22"/>
              <w14:ligatures w14:val="standardContextual"/>
            </w:rPr>
          </w:pPr>
          <w:r>
            <w:fldChar w:fldCharType="begin"/>
          </w:r>
          <w:r>
            <w:instrText xml:space="preserve"> TOC \o "1-3" \h \z \u </w:instrText>
          </w:r>
          <w:r>
            <w:fldChar w:fldCharType="separate"/>
          </w:r>
          <w:r>
            <w:fldChar w:fldCharType="begin"/>
          </w:r>
          <w:r>
            <w:instrText xml:space="preserve"> HYPERLINK \l "_Toc187608093" </w:instrText>
          </w:r>
          <w:r>
            <w:fldChar w:fldCharType="separate"/>
          </w:r>
          <w:r>
            <w:rPr>
              <w:rStyle w:val="20"/>
              <w:rFonts w:hint="eastAsia"/>
            </w:rPr>
            <w:t>1.基本情况</w:t>
          </w:r>
          <w:r>
            <w:rPr>
              <w:rFonts w:hint="eastAsia"/>
            </w:rPr>
            <w:tab/>
          </w:r>
          <w:r>
            <w:rPr>
              <w:rFonts w:hint="eastAsia"/>
            </w:rPr>
            <w:fldChar w:fldCharType="begin"/>
          </w:r>
          <w:r>
            <w:rPr>
              <w:rFonts w:hint="eastAsia"/>
            </w:rPr>
            <w:instrText xml:space="preserve"> </w:instrText>
          </w:r>
          <w:r>
            <w:instrText xml:space="preserve">PAGEREF _Toc187608093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73C2C9A1">
          <w:pPr>
            <w:pStyle w:val="14"/>
            <w:tabs>
              <w:tab w:val="right" w:leader="dot" w:pos="8720"/>
            </w:tabs>
            <w:ind w:left="640"/>
            <w:rPr>
              <w:rFonts w:hint="eastAsia" w:asciiTheme="minorHAnsi" w:eastAsiaTheme="minorEastAsia"/>
              <w:sz w:val="21"/>
              <w:szCs w:val="22"/>
              <w14:ligatures w14:val="standardContextual"/>
            </w:rPr>
          </w:pPr>
          <w:r>
            <w:fldChar w:fldCharType="begin"/>
          </w:r>
          <w:r>
            <w:instrText xml:space="preserve"> HYPERLINK \l "_Toc187608094" </w:instrText>
          </w:r>
          <w:r>
            <w:fldChar w:fldCharType="separate"/>
          </w:r>
          <w:r>
            <w:rPr>
              <w:rStyle w:val="20"/>
              <w:rFonts w:hint="eastAsia"/>
            </w:rPr>
            <w:t>1.1规模结构</w:t>
          </w:r>
          <w:r>
            <w:rPr>
              <w:rFonts w:hint="eastAsia"/>
            </w:rPr>
            <w:tab/>
          </w:r>
          <w:r>
            <w:rPr>
              <w:rFonts w:hint="eastAsia"/>
            </w:rPr>
            <w:fldChar w:fldCharType="begin"/>
          </w:r>
          <w:r>
            <w:rPr>
              <w:rFonts w:hint="eastAsia"/>
            </w:rPr>
            <w:instrText xml:space="preserve"> </w:instrText>
          </w:r>
          <w:r>
            <w:instrText xml:space="preserve">PAGEREF _Toc187608094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12BE17AF">
          <w:pPr>
            <w:pStyle w:val="14"/>
            <w:tabs>
              <w:tab w:val="right" w:leader="dot" w:pos="8720"/>
            </w:tabs>
            <w:ind w:left="640"/>
            <w:rPr>
              <w:rFonts w:hint="eastAsia" w:asciiTheme="minorHAnsi" w:eastAsiaTheme="minorEastAsia"/>
              <w:sz w:val="21"/>
              <w:szCs w:val="22"/>
              <w14:ligatures w14:val="standardContextual"/>
            </w:rPr>
          </w:pPr>
          <w:r>
            <w:fldChar w:fldCharType="begin"/>
          </w:r>
          <w:r>
            <w:instrText xml:space="preserve"> HYPERLINK \l "_Toc187608095" </w:instrText>
          </w:r>
          <w:r>
            <w:fldChar w:fldCharType="separate"/>
          </w:r>
          <w:r>
            <w:rPr>
              <w:rStyle w:val="20"/>
              <w:rFonts w:hint="eastAsia"/>
            </w:rPr>
            <w:t>1.2设施设备</w:t>
          </w:r>
          <w:r>
            <w:rPr>
              <w:rFonts w:hint="eastAsia"/>
            </w:rPr>
            <w:tab/>
          </w:r>
          <w:r>
            <w:rPr>
              <w:rFonts w:hint="eastAsia"/>
            </w:rPr>
            <w:fldChar w:fldCharType="begin"/>
          </w:r>
          <w:r>
            <w:rPr>
              <w:rFonts w:hint="eastAsia"/>
            </w:rPr>
            <w:instrText xml:space="preserve"> </w:instrText>
          </w:r>
          <w:r>
            <w:instrText xml:space="preserve">PAGEREF _Toc187608095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219F4129">
          <w:pPr>
            <w:pStyle w:val="14"/>
            <w:tabs>
              <w:tab w:val="right" w:leader="dot" w:pos="8720"/>
            </w:tabs>
            <w:ind w:left="640"/>
            <w:rPr>
              <w:rFonts w:hint="eastAsia" w:asciiTheme="minorHAnsi" w:eastAsiaTheme="minorEastAsia"/>
              <w:sz w:val="21"/>
              <w:szCs w:val="22"/>
              <w14:ligatures w14:val="standardContextual"/>
            </w:rPr>
          </w:pPr>
          <w:r>
            <w:fldChar w:fldCharType="begin"/>
          </w:r>
          <w:r>
            <w:instrText xml:space="preserve"> HYPERLINK \l "_Toc187608096" </w:instrText>
          </w:r>
          <w:r>
            <w:fldChar w:fldCharType="separate"/>
          </w:r>
          <w:r>
            <w:rPr>
              <w:rStyle w:val="20"/>
              <w:rFonts w:hint="eastAsia"/>
            </w:rPr>
            <w:t>1.3教师队伍</w:t>
          </w:r>
          <w:r>
            <w:rPr>
              <w:rFonts w:hint="eastAsia"/>
            </w:rPr>
            <w:tab/>
          </w:r>
          <w:r>
            <w:rPr>
              <w:rFonts w:hint="eastAsia"/>
            </w:rPr>
            <w:fldChar w:fldCharType="begin"/>
          </w:r>
          <w:r>
            <w:rPr>
              <w:rFonts w:hint="eastAsia"/>
            </w:rPr>
            <w:instrText xml:space="preserve"> </w:instrText>
          </w:r>
          <w:r>
            <w:instrText xml:space="preserve">PAGEREF _Toc187608096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7593784A">
          <w:pPr>
            <w:pStyle w:val="11"/>
            <w:tabs>
              <w:tab w:val="right" w:leader="dot" w:pos="8720"/>
            </w:tabs>
            <w:rPr>
              <w:rFonts w:hint="eastAsia" w:asciiTheme="minorHAnsi" w:eastAsiaTheme="minorEastAsia"/>
              <w:sz w:val="21"/>
              <w:szCs w:val="22"/>
              <w14:ligatures w14:val="standardContextual"/>
            </w:rPr>
          </w:pPr>
          <w:r>
            <w:fldChar w:fldCharType="begin"/>
          </w:r>
          <w:r>
            <w:instrText xml:space="preserve"> HYPERLINK \l "_Toc187608097" </w:instrText>
          </w:r>
          <w:r>
            <w:fldChar w:fldCharType="separate"/>
          </w:r>
          <w:r>
            <w:rPr>
              <w:rStyle w:val="20"/>
              <w:rFonts w:hint="eastAsia"/>
            </w:rPr>
            <w:t>2.人才培养</w:t>
          </w:r>
          <w:r>
            <w:rPr>
              <w:rFonts w:hint="eastAsia"/>
            </w:rPr>
            <w:tab/>
          </w:r>
          <w:r>
            <w:rPr>
              <w:rFonts w:hint="eastAsia"/>
            </w:rPr>
            <w:fldChar w:fldCharType="begin"/>
          </w:r>
          <w:r>
            <w:rPr>
              <w:rFonts w:hint="eastAsia"/>
            </w:rPr>
            <w:instrText xml:space="preserve"> </w:instrText>
          </w:r>
          <w:r>
            <w:instrText xml:space="preserve">PAGEREF _Toc187608097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14:paraId="357AAA24">
          <w:pPr>
            <w:pStyle w:val="14"/>
            <w:tabs>
              <w:tab w:val="right" w:leader="dot" w:pos="8720"/>
            </w:tabs>
            <w:ind w:left="640"/>
            <w:rPr>
              <w:rFonts w:hint="eastAsia" w:asciiTheme="minorHAnsi" w:eastAsiaTheme="minorEastAsia"/>
              <w:sz w:val="21"/>
              <w:szCs w:val="22"/>
              <w14:ligatures w14:val="standardContextual"/>
            </w:rPr>
          </w:pPr>
          <w:r>
            <w:fldChar w:fldCharType="begin"/>
          </w:r>
          <w:r>
            <w:instrText xml:space="preserve"> HYPERLINK \l "_Toc187608098" </w:instrText>
          </w:r>
          <w:r>
            <w:fldChar w:fldCharType="separate"/>
          </w:r>
          <w:r>
            <w:rPr>
              <w:rStyle w:val="20"/>
              <w:rFonts w:hint="eastAsia"/>
            </w:rPr>
            <w:t>2.1立德树人</w:t>
          </w:r>
          <w:r>
            <w:rPr>
              <w:rFonts w:hint="eastAsia"/>
            </w:rPr>
            <w:tab/>
          </w:r>
          <w:r>
            <w:rPr>
              <w:rFonts w:hint="eastAsia"/>
            </w:rPr>
            <w:fldChar w:fldCharType="begin"/>
          </w:r>
          <w:r>
            <w:rPr>
              <w:rFonts w:hint="eastAsia"/>
            </w:rPr>
            <w:instrText xml:space="preserve"> </w:instrText>
          </w:r>
          <w:r>
            <w:instrText xml:space="preserve">PAGEREF _Toc187608098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14:paraId="3DDDF946">
          <w:pPr>
            <w:pStyle w:val="14"/>
            <w:tabs>
              <w:tab w:val="right" w:leader="dot" w:pos="8720"/>
            </w:tabs>
            <w:ind w:left="640"/>
            <w:rPr>
              <w:rFonts w:hint="eastAsia" w:asciiTheme="minorHAnsi" w:eastAsiaTheme="minorEastAsia"/>
              <w:sz w:val="21"/>
              <w:szCs w:val="22"/>
              <w14:ligatures w14:val="standardContextual"/>
            </w:rPr>
          </w:pPr>
          <w:r>
            <w:fldChar w:fldCharType="begin"/>
          </w:r>
          <w:r>
            <w:instrText xml:space="preserve"> HYPERLINK \l "_Toc187608099" </w:instrText>
          </w:r>
          <w:r>
            <w:fldChar w:fldCharType="separate"/>
          </w:r>
          <w:r>
            <w:rPr>
              <w:rStyle w:val="20"/>
              <w:rFonts w:hint="eastAsia"/>
            </w:rPr>
            <w:t>2.2多样成才</w:t>
          </w:r>
          <w:r>
            <w:rPr>
              <w:rFonts w:hint="eastAsia"/>
            </w:rPr>
            <w:tab/>
          </w:r>
          <w:r>
            <w:rPr>
              <w:rFonts w:hint="eastAsia"/>
            </w:rPr>
            <w:fldChar w:fldCharType="begin"/>
          </w:r>
          <w:r>
            <w:rPr>
              <w:rFonts w:hint="eastAsia"/>
            </w:rPr>
            <w:instrText xml:space="preserve"> </w:instrText>
          </w:r>
          <w:r>
            <w:instrText xml:space="preserve">PAGEREF _Toc187608099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07B0D63D">
          <w:pPr>
            <w:pStyle w:val="14"/>
            <w:tabs>
              <w:tab w:val="right" w:leader="dot" w:pos="8720"/>
            </w:tabs>
            <w:ind w:left="640"/>
            <w:rPr>
              <w:rFonts w:hint="eastAsia" w:asciiTheme="minorHAnsi" w:eastAsiaTheme="minorEastAsia"/>
              <w:sz w:val="21"/>
              <w:szCs w:val="22"/>
              <w14:ligatures w14:val="standardContextual"/>
            </w:rPr>
          </w:pPr>
          <w:r>
            <w:fldChar w:fldCharType="begin"/>
          </w:r>
          <w:r>
            <w:instrText xml:space="preserve"> HYPERLINK \l "_Toc187608100" </w:instrText>
          </w:r>
          <w:r>
            <w:fldChar w:fldCharType="separate"/>
          </w:r>
          <w:r>
            <w:rPr>
              <w:rStyle w:val="20"/>
              <w:rFonts w:hint="eastAsia"/>
            </w:rPr>
            <w:t>2.3技能成才</w:t>
          </w:r>
          <w:r>
            <w:rPr>
              <w:rFonts w:hint="eastAsia"/>
            </w:rPr>
            <w:tab/>
          </w:r>
          <w:r>
            <w:rPr>
              <w:rFonts w:hint="eastAsia"/>
            </w:rPr>
            <w:fldChar w:fldCharType="begin"/>
          </w:r>
          <w:r>
            <w:rPr>
              <w:rFonts w:hint="eastAsia"/>
            </w:rPr>
            <w:instrText xml:space="preserve"> </w:instrText>
          </w:r>
          <w:r>
            <w:instrText xml:space="preserve">PAGEREF _Toc187608100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14:paraId="2617938A">
          <w:pPr>
            <w:pStyle w:val="14"/>
            <w:tabs>
              <w:tab w:val="right" w:leader="dot" w:pos="8720"/>
            </w:tabs>
            <w:ind w:left="640"/>
            <w:rPr>
              <w:rFonts w:hint="eastAsia" w:asciiTheme="minorHAnsi" w:eastAsiaTheme="minorEastAsia"/>
              <w:sz w:val="21"/>
              <w:szCs w:val="22"/>
              <w14:ligatures w14:val="standardContextual"/>
            </w:rPr>
          </w:pPr>
          <w:r>
            <w:fldChar w:fldCharType="begin"/>
          </w:r>
          <w:r>
            <w:instrText xml:space="preserve"> HYPERLINK \l "_Toc187608101" </w:instrText>
          </w:r>
          <w:r>
            <w:fldChar w:fldCharType="separate"/>
          </w:r>
          <w:r>
            <w:rPr>
              <w:rStyle w:val="20"/>
              <w:rFonts w:hint="eastAsia"/>
            </w:rPr>
            <w:t>2.4职业发展</w:t>
          </w:r>
          <w:r>
            <w:rPr>
              <w:rFonts w:hint="eastAsia"/>
            </w:rPr>
            <w:tab/>
          </w:r>
          <w:r>
            <w:rPr>
              <w:rFonts w:hint="eastAsia"/>
            </w:rPr>
            <w:fldChar w:fldCharType="begin"/>
          </w:r>
          <w:r>
            <w:rPr>
              <w:rFonts w:hint="eastAsia"/>
            </w:rPr>
            <w:instrText xml:space="preserve"> </w:instrText>
          </w:r>
          <w:r>
            <w:instrText xml:space="preserve">PAGEREF _Toc187608101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7183E381">
          <w:pPr>
            <w:pStyle w:val="11"/>
            <w:tabs>
              <w:tab w:val="right" w:leader="dot" w:pos="8720"/>
            </w:tabs>
            <w:rPr>
              <w:rFonts w:hint="eastAsia" w:asciiTheme="minorHAnsi" w:eastAsiaTheme="minorEastAsia"/>
              <w:sz w:val="21"/>
              <w:szCs w:val="22"/>
              <w14:ligatures w14:val="standardContextual"/>
            </w:rPr>
          </w:pPr>
          <w:r>
            <w:fldChar w:fldCharType="begin"/>
          </w:r>
          <w:r>
            <w:instrText xml:space="preserve"> HYPERLINK \l "_Toc187608102" </w:instrText>
          </w:r>
          <w:r>
            <w:fldChar w:fldCharType="separate"/>
          </w:r>
          <w:r>
            <w:rPr>
              <w:rStyle w:val="20"/>
              <w:rFonts w:hint="eastAsia"/>
            </w:rPr>
            <w:t>3.教育教学</w:t>
          </w:r>
          <w:r>
            <w:rPr>
              <w:rFonts w:hint="eastAsia"/>
            </w:rPr>
            <w:tab/>
          </w:r>
          <w:r>
            <w:rPr>
              <w:rFonts w:hint="eastAsia"/>
            </w:rPr>
            <w:fldChar w:fldCharType="begin"/>
          </w:r>
          <w:r>
            <w:rPr>
              <w:rFonts w:hint="eastAsia"/>
            </w:rPr>
            <w:instrText xml:space="preserve"> </w:instrText>
          </w:r>
          <w:r>
            <w:instrText xml:space="preserve">PAGEREF _Toc187608102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14:paraId="6BBBCBEA">
          <w:pPr>
            <w:pStyle w:val="14"/>
            <w:tabs>
              <w:tab w:val="right" w:leader="dot" w:pos="8720"/>
            </w:tabs>
            <w:ind w:left="640"/>
            <w:rPr>
              <w:rFonts w:hint="eastAsia" w:asciiTheme="minorHAnsi" w:eastAsiaTheme="minorEastAsia"/>
              <w:sz w:val="21"/>
              <w:szCs w:val="22"/>
              <w14:ligatures w14:val="standardContextual"/>
            </w:rPr>
          </w:pPr>
          <w:r>
            <w:fldChar w:fldCharType="begin"/>
          </w:r>
          <w:r>
            <w:instrText xml:space="preserve"> HYPERLINK \l "_Toc187608103" </w:instrText>
          </w:r>
          <w:r>
            <w:fldChar w:fldCharType="separate"/>
          </w:r>
          <w:r>
            <w:rPr>
              <w:rStyle w:val="20"/>
              <w:rFonts w:hint="eastAsia"/>
            </w:rPr>
            <w:t>3.1专业建设质量</w:t>
          </w:r>
          <w:r>
            <w:rPr>
              <w:rFonts w:hint="eastAsia"/>
            </w:rPr>
            <w:tab/>
          </w:r>
          <w:r>
            <w:rPr>
              <w:rFonts w:hint="eastAsia"/>
            </w:rPr>
            <w:fldChar w:fldCharType="begin"/>
          </w:r>
          <w:r>
            <w:rPr>
              <w:rFonts w:hint="eastAsia"/>
            </w:rPr>
            <w:instrText xml:space="preserve"> </w:instrText>
          </w:r>
          <w:r>
            <w:instrText xml:space="preserve">PAGEREF _Toc187608103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14:paraId="1E8ABA2F">
          <w:pPr>
            <w:pStyle w:val="14"/>
            <w:tabs>
              <w:tab w:val="right" w:leader="dot" w:pos="8720"/>
            </w:tabs>
            <w:ind w:left="640"/>
            <w:rPr>
              <w:rFonts w:hint="eastAsia" w:asciiTheme="minorHAnsi" w:eastAsiaTheme="minorEastAsia"/>
              <w:sz w:val="21"/>
              <w:szCs w:val="22"/>
              <w14:ligatures w14:val="standardContextual"/>
            </w:rPr>
          </w:pPr>
          <w:r>
            <w:fldChar w:fldCharType="begin"/>
          </w:r>
          <w:r>
            <w:instrText xml:space="preserve"> HYPERLINK \l "_Toc187608104" </w:instrText>
          </w:r>
          <w:r>
            <w:fldChar w:fldCharType="separate"/>
          </w:r>
          <w:r>
            <w:rPr>
              <w:rStyle w:val="20"/>
              <w:rFonts w:hint="eastAsia"/>
            </w:rPr>
            <w:t>3.2课程建设质量</w:t>
          </w:r>
          <w:r>
            <w:rPr>
              <w:rFonts w:hint="eastAsia"/>
            </w:rPr>
            <w:tab/>
          </w:r>
          <w:r>
            <w:rPr>
              <w:rFonts w:hint="eastAsia"/>
            </w:rPr>
            <w:fldChar w:fldCharType="begin"/>
          </w:r>
          <w:r>
            <w:rPr>
              <w:rFonts w:hint="eastAsia"/>
            </w:rPr>
            <w:instrText xml:space="preserve"> </w:instrText>
          </w:r>
          <w:r>
            <w:instrText xml:space="preserve">PAGEREF _Toc187608104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14:paraId="4B155F63">
          <w:pPr>
            <w:pStyle w:val="14"/>
            <w:tabs>
              <w:tab w:val="right" w:leader="dot" w:pos="8720"/>
            </w:tabs>
            <w:ind w:left="640"/>
            <w:rPr>
              <w:rFonts w:hint="eastAsia" w:asciiTheme="minorHAnsi" w:eastAsiaTheme="minorEastAsia"/>
              <w:sz w:val="21"/>
              <w:szCs w:val="22"/>
              <w14:ligatures w14:val="standardContextual"/>
            </w:rPr>
          </w:pPr>
          <w:r>
            <w:fldChar w:fldCharType="begin"/>
          </w:r>
          <w:r>
            <w:instrText xml:space="preserve"> HYPERLINK \l "_Toc187608105" </w:instrText>
          </w:r>
          <w:r>
            <w:fldChar w:fldCharType="separate"/>
          </w:r>
          <w:r>
            <w:rPr>
              <w:rStyle w:val="20"/>
              <w:rFonts w:hint="eastAsia"/>
            </w:rPr>
            <w:t>3.3教学方法改革</w:t>
          </w:r>
          <w:r>
            <w:rPr>
              <w:rFonts w:hint="eastAsia"/>
            </w:rPr>
            <w:tab/>
          </w:r>
          <w:r>
            <w:rPr>
              <w:rFonts w:hint="eastAsia"/>
            </w:rPr>
            <w:fldChar w:fldCharType="begin"/>
          </w:r>
          <w:r>
            <w:rPr>
              <w:rFonts w:hint="eastAsia"/>
            </w:rPr>
            <w:instrText xml:space="preserve"> </w:instrText>
          </w:r>
          <w:r>
            <w:instrText xml:space="preserve">PAGEREF _Toc187608105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14:paraId="0DF9294B">
          <w:pPr>
            <w:pStyle w:val="14"/>
            <w:tabs>
              <w:tab w:val="right" w:leader="dot" w:pos="8720"/>
            </w:tabs>
            <w:ind w:left="640"/>
            <w:rPr>
              <w:rFonts w:hint="eastAsia" w:asciiTheme="minorHAnsi" w:eastAsiaTheme="minorEastAsia"/>
              <w:sz w:val="21"/>
              <w:szCs w:val="22"/>
              <w14:ligatures w14:val="standardContextual"/>
            </w:rPr>
          </w:pPr>
          <w:r>
            <w:fldChar w:fldCharType="begin"/>
          </w:r>
          <w:r>
            <w:instrText xml:space="preserve"> HYPERLINK \l "_Toc187608106" </w:instrText>
          </w:r>
          <w:r>
            <w:fldChar w:fldCharType="separate"/>
          </w:r>
          <w:r>
            <w:rPr>
              <w:rStyle w:val="20"/>
              <w:rFonts w:hint="eastAsia"/>
            </w:rPr>
            <w:t>3.4教材建设质量</w:t>
          </w:r>
          <w:r>
            <w:rPr>
              <w:rFonts w:hint="eastAsia"/>
            </w:rPr>
            <w:tab/>
          </w:r>
          <w:r>
            <w:rPr>
              <w:rFonts w:hint="eastAsia"/>
            </w:rPr>
            <w:fldChar w:fldCharType="begin"/>
          </w:r>
          <w:r>
            <w:rPr>
              <w:rFonts w:hint="eastAsia"/>
            </w:rPr>
            <w:instrText xml:space="preserve"> </w:instrText>
          </w:r>
          <w:r>
            <w:instrText xml:space="preserve">PAGEREF _Toc187608106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14:paraId="2AB1CAEF">
          <w:pPr>
            <w:pStyle w:val="14"/>
            <w:tabs>
              <w:tab w:val="right" w:leader="dot" w:pos="8720"/>
            </w:tabs>
            <w:ind w:left="640"/>
            <w:rPr>
              <w:rFonts w:hint="eastAsia" w:asciiTheme="minorHAnsi" w:eastAsiaTheme="minorEastAsia"/>
              <w:sz w:val="21"/>
              <w:szCs w:val="22"/>
              <w14:ligatures w14:val="standardContextual"/>
            </w:rPr>
          </w:pPr>
          <w:r>
            <w:fldChar w:fldCharType="begin"/>
          </w:r>
          <w:r>
            <w:instrText xml:space="preserve"> HYPERLINK \l "_Toc187608107" </w:instrText>
          </w:r>
          <w:r>
            <w:fldChar w:fldCharType="separate"/>
          </w:r>
          <w:r>
            <w:rPr>
              <w:rStyle w:val="20"/>
              <w:rFonts w:hint="eastAsia"/>
            </w:rPr>
            <w:t>3.5数字化教学资源建设与应用</w:t>
          </w:r>
          <w:r>
            <w:rPr>
              <w:rFonts w:hint="eastAsia"/>
            </w:rPr>
            <w:tab/>
          </w:r>
          <w:r>
            <w:rPr>
              <w:rFonts w:hint="eastAsia"/>
            </w:rPr>
            <w:fldChar w:fldCharType="begin"/>
          </w:r>
          <w:r>
            <w:rPr>
              <w:rFonts w:hint="eastAsia"/>
            </w:rPr>
            <w:instrText xml:space="preserve"> </w:instrText>
          </w:r>
          <w:r>
            <w:instrText xml:space="preserve">PAGEREF _Toc187608107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14:paraId="01C2FE82">
          <w:pPr>
            <w:pStyle w:val="14"/>
            <w:tabs>
              <w:tab w:val="right" w:leader="dot" w:pos="8720"/>
            </w:tabs>
            <w:ind w:left="640"/>
            <w:rPr>
              <w:rFonts w:hint="eastAsia" w:asciiTheme="minorHAnsi" w:eastAsiaTheme="minorEastAsia"/>
              <w:sz w:val="21"/>
              <w:szCs w:val="22"/>
              <w14:ligatures w14:val="standardContextual"/>
            </w:rPr>
          </w:pPr>
          <w:r>
            <w:fldChar w:fldCharType="begin"/>
          </w:r>
          <w:r>
            <w:instrText xml:space="preserve"> HYPERLINK \l "_Toc187608108" </w:instrText>
          </w:r>
          <w:r>
            <w:fldChar w:fldCharType="separate"/>
          </w:r>
          <w:r>
            <w:rPr>
              <w:rStyle w:val="20"/>
              <w:rFonts w:hint="eastAsia"/>
            </w:rPr>
            <w:t>3.6师资队伍建设</w:t>
          </w:r>
          <w:r>
            <w:rPr>
              <w:rFonts w:hint="eastAsia"/>
            </w:rPr>
            <w:tab/>
          </w:r>
          <w:r>
            <w:rPr>
              <w:rFonts w:hint="eastAsia"/>
            </w:rPr>
            <w:fldChar w:fldCharType="begin"/>
          </w:r>
          <w:r>
            <w:rPr>
              <w:rFonts w:hint="eastAsia"/>
            </w:rPr>
            <w:instrText xml:space="preserve"> </w:instrText>
          </w:r>
          <w:r>
            <w:instrText xml:space="preserve">PAGEREF _Toc187608108 \h</w:instrText>
          </w:r>
          <w:r>
            <w:rPr>
              <w:rFonts w:hint="eastAsia"/>
            </w:rPr>
            <w:instrText xml:space="preserve"> </w:instrText>
          </w:r>
          <w:r>
            <w:rPr>
              <w:rFonts w:hint="eastAsia"/>
            </w:rPr>
            <w:fldChar w:fldCharType="separate"/>
          </w:r>
          <w:r>
            <w:t>15</w:t>
          </w:r>
          <w:r>
            <w:rPr>
              <w:rFonts w:hint="eastAsia"/>
            </w:rPr>
            <w:fldChar w:fldCharType="end"/>
          </w:r>
          <w:r>
            <w:rPr>
              <w:rFonts w:hint="eastAsia"/>
            </w:rPr>
            <w:fldChar w:fldCharType="end"/>
          </w:r>
        </w:p>
        <w:p w14:paraId="30AA5FE0">
          <w:pPr>
            <w:pStyle w:val="11"/>
            <w:tabs>
              <w:tab w:val="right" w:leader="dot" w:pos="8720"/>
            </w:tabs>
            <w:rPr>
              <w:rFonts w:hint="eastAsia" w:asciiTheme="minorHAnsi" w:eastAsiaTheme="minorEastAsia"/>
              <w:sz w:val="21"/>
              <w:szCs w:val="22"/>
              <w14:ligatures w14:val="standardContextual"/>
            </w:rPr>
          </w:pPr>
          <w:r>
            <w:fldChar w:fldCharType="begin"/>
          </w:r>
          <w:r>
            <w:instrText xml:space="preserve"> HYPERLINK \l "_Toc187608109" </w:instrText>
          </w:r>
          <w:r>
            <w:fldChar w:fldCharType="separate"/>
          </w:r>
          <w:r>
            <w:rPr>
              <w:rStyle w:val="20"/>
              <w:rFonts w:hint="eastAsia"/>
            </w:rPr>
            <w:t>4.服务贡献</w:t>
          </w:r>
          <w:r>
            <w:rPr>
              <w:rFonts w:hint="eastAsia"/>
            </w:rPr>
            <w:tab/>
          </w:r>
          <w:r>
            <w:rPr>
              <w:rFonts w:hint="eastAsia"/>
            </w:rPr>
            <w:fldChar w:fldCharType="begin"/>
          </w:r>
          <w:r>
            <w:rPr>
              <w:rFonts w:hint="eastAsia"/>
            </w:rPr>
            <w:instrText xml:space="preserve"> </w:instrText>
          </w:r>
          <w:r>
            <w:instrText xml:space="preserve">PAGEREF _Toc187608109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14:paraId="132CD305">
          <w:pPr>
            <w:pStyle w:val="14"/>
            <w:tabs>
              <w:tab w:val="right" w:leader="dot" w:pos="8720"/>
            </w:tabs>
            <w:ind w:left="640"/>
            <w:rPr>
              <w:rFonts w:hint="eastAsia" w:asciiTheme="minorHAnsi" w:eastAsiaTheme="minorEastAsia"/>
              <w:sz w:val="21"/>
              <w:szCs w:val="22"/>
              <w14:ligatures w14:val="standardContextual"/>
            </w:rPr>
          </w:pPr>
          <w:r>
            <w:fldChar w:fldCharType="begin"/>
          </w:r>
          <w:r>
            <w:instrText xml:space="preserve"> HYPERLINK \l "_Toc187608110" </w:instrText>
          </w:r>
          <w:r>
            <w:fldChar w:fldCharType="separate"/>
          </w:r>
          <w:r>
            <w:rPr>
              <w:rStyle w:val="20"/>
              <w:rFonts w:hint="eastAsia"/>
            </w:rPr>
            <w:t>4.1服务产业企业</w:t>
          </w:r>
          <w:r>
            <w:rPr>
              <w:rFonts w:hint="eastAsia"/>
            </w:rPr>
            <w:tab/>
          </w:r>
          <w:r>
            <w:rPr>
              <w:rFonts w:hint="eastAsia"/>
            </w:rPr>
            <w:fldChar w:fldCharType="begin"/>
          </w:r>
          <w:r>
            <w:rPr>
              <w:rFonts w:hint="eastAsia"/>
            </w:rPr>
            <w:instrText xml:space="preserve"> </w:instrText>
          </w:r>
          <w:r>
            <w:instrText xml:space="preserve">PAGEREF _Toc187608110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14:paraId="39A82B9A">
          <w:pPr>
            <w:pStyle w:val="14"/>
            <w:tabs>
              <w:tab w:val="right" w:leader="dot" w:pos="8720"/>
            </w:tabs>
            <w:ind w:left="640"/>
            <w:rPr>
              <w:rFonts w:hint="eastAsia" w:asciiTheme="minorHAnsi" w:eastAsiaTheme="minorEastAsia"/>
              <w:sz w:val="21"/>
              <w:szCs w:val="22"/>
              <w14:ligatures w14:val="standardContextual"/>
            </w:rPr>
          </w:pPr>
          <w:r>
            <w:fldChar w:fldCharType="begin"/>
          </w:r>
          <w:r>
            <w:instrText xml:space="preserve"> HYPERLINK \l "_Toc187608111" </w:instrText>
          </w:r>
          <w:r>
            <w:fldChar w:fldCharType="separate"/>
          </w:r>
          <w:r>
            <w:rPr>
              <w:rStyle w:val="20"/>
              <w:rFonts w:hint="eastAsia"/>
            </w:rPr>
            <w:t>4.2服务重大战略</w:t>
          </w:r>
          <w:r>
            <w:rPr>
              <w:rFonts w:hint="eastAsia"/>
            </w:rPr>
            <w:tab/>
          </w:r>
          <w:r>
            <w:rPr>
              <w:rFonts w:hint="eastAsia"/>
            </w:rPr>
            <w:fldChar w:fldCharType="begin"/>
          </w:r>
          <w:r>
            <w:rPr>
              <w:rFonts w:hint="eastAsia"/>
            </w:rPr>
            <w:instrText xml:space="preserve"> </w:instrText>
          </w:r>
          <w:r>
            <w:instrText xml:space="preserve">PAGEREF _Toc187608111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14:paraId="039D830C">
          <w:pPr>
            <w:pStyle w:val="14"/>
            <w:tabs>
              <w:tab w:val="right" w:leader="dot" w:pos="8720"/>
            </w:tabs>
            <w:ind w:left="640"/>
            <w:rPr>
              <w:rFonts w:hint="eastAsia" w:asciiTheme="minorHAnsi" w:eastAsiaTheme="minorEastAsia"/>
              <w:sz w:val="21"/>
              <w:szCs w:val="22"/>
              <w14:ligatures w14:val="standardContextual"/>
            </w:rPr>
          </w:pPr>
          <w:r>
            <w:fldChar w:fldCharType="begin"/>
          </w:r>
          <w:r>
            <w:instrText xml:space="preserve"> HYPERLINK \l "_Toc187608112" </w:instrText>
          </w:r>
          <w:r>
            <w:fldChar w:fldCharType="separate"/>
          </w:r>
          <w:r>
            <w:rPr>
              <w:rStyle w:val="20"/>
              <w:rFonts w:hint="eastAsia"/>
            </w:rPr>
            <w:t>4.3服务技术技能人才培养</w:t>
          </w:r>
          <w:r>
            <w:rPr>
              <w:rFonts w:hint="eastAsia"/>
            </w:rPr>
            <w:tab/>
          </w:r>
          <w:r>
            <w:rPr>
              <w:rFonts w:hint="eastAsia"/>
            </w:rPr>
            <w:fldChar w:fldCharType="begin"/>
          </w:r>
          <w:r>
            <w:rPr>
              <w:rFonts w:hint="eastAsia"/>
            </w:rPr>
            <w:instrText xml:space="preserve"> </w:instrText>
          </w:r>
          <w:r>
            <w:instrText xml:space="preserve">PAGEREF _Toc187608112 \h</w:instrText>
          </w:r>
          <w:r>
            <w:rPr>
              <w:rFonts w:hint="eastAsia"/>
            </w:rPr>
            <w:instrText xml:space="preserve"> </w:instrText>
          </w:r>
          <w:r>
            <w:rPr>
              <w:rFonts w:hint="eastAsia"/>
            </w:rPr>
            <w:fldChar w:fldCharType="separate"/>
          </w:r>
          <w:r>
            <w:t>18</w:t>
          </w:r>
          <w:r>
            <w:rPr>
              <w:rFonts w:hint="eastAsia"/>
            </w:rPr>
            <w:fldChar w:fldCharType="end"/>
          </w:r>
          <w:r>
            <w:rPr>
              <w:rFonts w:hint="eastAsia"/>
            </w:rPr>
            <w:fldChar w:fldCharType="end"/>
          </w:r>
        </w:p>
        <w:p w14:paraId="4CB91D81">
          <w:pPr>
            <w:pStyle w:val="11"/>
            <w:tabs>
              <w:tab w:val="right" w:leader="dot" w:pos="8720"/>
            </w:tabs>
            <w:rPr>
              <w:rFonts w:hint="eastAsia" w:asciiTheme="minorHAnsi" w:eastAsiaTheme="minorEastAsia"/>
              <w:sz w:val="21"/>
              <w:szCs w:val="22"/>
              <w14:ligatures w14:val="standardContextual"/>
            </w:rPr>
          </w:pPr>
          <w:r>
            <w:fldChar w:fldCharType="begin"/>
          </w:r>
          <w:r>
            <w:instrText xml:space="preserve"> HYPERLINK \l "_Toc187608113" </w:instrText>
          </w:r>
          <w:r>
            <w:fldChar w:fldCharType="separate"/>
          </w:r>
          <w:r>
            <w:rPr>
              <w:rStyle w:val="20"/>
              <w:rFonts w:hint="eastAsia"/>
            </w:rPr>
            <w:t>5.文化传承</w:t>
          </w:r>
          <w:r>
            <w:rPr>
              <w:rFonts w:hint="eastAsia"/>
            </w:rPr>
            <w:tab/>
          </w:r>
          <w:r>
            <w:rPr>
              <w:rFonts w:hint="eastAsia"/>
            </w:rPr>
            <w:fldChar w:fldCharType="begin"/>
          </w:r>
          <w:r>
            <w:rPr>
              <w:rFonts w:hint="eastAsia"/>
            </w:rPr>
            <w:instrText xml:space="preserve"> </w:instrText>
          </w:r>
          <w:r>
            <w:instrText xml:space="preserve">PAGEREF _Toc187608113 \h</w:instrText>
          </w:r>
          <w:r>
            <w:rPr>
              <w:rFonts w:hint="eastAsia"/>
            </w:rPr>
            <w:instrText xml:space="preserve"> </w:instrText>
          </w:r>
          <w:r>
            <w:rPr>
              <w:rFonts w:hint="eastAsia"/>
            </w:rPr>
            <w:fldChar w:fldCharType="separate"/>
          </w:r>
          <w:r>
            <w:t>21</w:t>
          </w:r>
          <w:r>
            <w:rPr>
              <w:rFonts w:hint="eastAsia"/>
            </w:rPr>
            <w:fldChar w:fldCharType="end"/>
          </w:r>
          <w:r>
            <w:rPr>
              <w:rFonts w:hint="eastAsia"/>
            </w:rPr>
            <w:fldChar w:fldCharType="end"/>
          </w:r>
        </w:p>
        <w:p w14:paraId="74ADB5E7">
          <w:pPr>
            <w:pStyle w:val="14"/>
            <w:tabs>
              <w:tab w:val="right" w:leader="dot" w:pos="8720"/>
            </w:tabs>
            <w:ind w:left="640"/>
            <w:rPr>
              <w:rFonts w:hint="eastAsia" w:asciiTheme="minorHAnsi" w:eastAsiaTheme="minorEastAsia"/>
              <w:sz w:val="21"/>
              <w:szCs w:val="22"/>
              <w14:ligatures w14:val="standardContextual"/>
            </w:rPr>
          </w:pPr>
          <w:r>
            <w:fldChar w:fldCharType="begin"/>
          </w:r>
          <w:r>
            <w:instrText xml:space="preserve"> HYPERLINK \l "_Toc187608114" </w:instrText>
          </w:r>
          <w:r>
            <w:fldChar w:fldCharType="separate"/>
          </w:r>
          <w:r>
            <w:rPr>
              <w:rStyle w:val="20"/>
              <w:rFonts w:hint="eastAsia"/>
            </w:rPr>
            <w:t>5.1传承工匠精神</w:t>
          </w:r>
          <w:r>
            <w:rPr>
              <w:rFonts w:hint="eastAsia"/>
            </w:rPr>
            <w:tab/>
          </w:r>
          <w:r>
            <w:rPr>
              <w:rFonts w:hint="eastAsia"/>
            </w:rPr>
            <w:fldChar w:fldCharType="begin"/>
          </w:r>
          <w:r>
            <w:rPr>
              <w:rFonts w:hint="eastAsia"/>
            </w:rPr>
            <w:instrText xml:space="preserve"> </w:instrText>
          </w:r>
          <w:r>
            <w:instrText xml:space="preserve">PAGEREF _Toc187608114 \h</w:instrText>
          </w:r>
          <w:r>
            <w:rPr>
              <w:rFonts w:hint="eastAsia"/>
            </w:rPr>
            <w:instrText xml:space="preserve"> </w:instrText>
          </w:r>
          <w:r>
            <w:rPr>
              <w:rFonts w:hint="eastAsia"/>
            </w:rPr>
            <w:fldChar w:fldCharType="separate"/>
          </w:r>
          <w:r>
            <w:t>21</w:t>
          </w:r>
          <w:r>
            <w:rPr>
              <w:rFonts w:hint="eastAsia"/>
            </w:rPr>
            <w:fldChar w:fldCharType="end"/>
          </w:r>
          <w:r>
            <w:rPr>
              <w:rFonts w:hint="eastAsia"/>
            </w:rPr>
            <w:fldChar w:fldCharType="end"/>
          </w:r>
        </w:p>
        <w:p w14:paraId="4728492B">
          <w:pPr>
            <w:pStyle w:val="14"/>
            <w:tabs>
              <w:tab w:val="right" w:leader="dot" w:pos="8720"/>
            </w:tabs>
            <w:ind w:left="640"/>
            <w:rPr>
              <w:rFonts w:hint="eastAsia" w:asciiTheme="minorHAnsi" w:eastAsiaTheme="minorEastAsia"/>
              <w:sz w:val="21"/>
              <w:szCs w:val="22"/>
              <w14:ligatures w14:val="standardContextual"/>
            </w:rPr>
          </w:pPr>
          <w:r>
            <w:fldChar w:fldCharType="begin"/>
          </w:r>
          <w:r>
            <w:instrText xml:space="preserve"> HYPERLINK \l "_Toc187608115" </w:instrText>
          </w:r>
          <w:r>
            <w:fldChar w:fldCharType="separate"/>
          </w:r>
          <w:r>
            <w:rPr>
              <w:rStyle w:val="20"/>
              <w:rFonts w:hint="eastAsia"/>
            </w:rPr>
            <w:t>5.2传承红色基因</w:t>
          </w:r>
          <w:r>
            <w:rPr>
              <w:rFonts w:hint="eastAsia"/>
            </w:rPr>
            <w:tab/>
          </w:r>
          <w:r>
            <w:rPr>
              <w:rFonts w:hint="eastAsia"/>
            </w:rPr>
            <w:fldChar w:fldCharType="begin"/>
          </w:r>
          <w:r>
            <w:rPr>
              <w:rFonts w:hint="eastAsia"/>
            </w:rPr>
            <w:instrText xml:space="preserve"> </w:instrText>
          </w:r>
          <w:r>
            <w:instrText xml:space="preserve">PAGEREF _Toc187608115 \h</w:instrText>
          </w:r>
          <w:r>
            <w:rPr>
              <w:rFonts w:hint="eastAsia"/>
            </w:rPr>
            <w:instrText xml:space="preserve"> </w:instrText>
          </w:r>
          <w:r>
            <w:rPr>
              <w:rFonts w:hint="eastAsia"/>
            </w:rPr>
            <w:fldChar w:fldCharType="separate"/>
          </w:r>
          <w:r>
            <w:t>21</w:t>
          </w:r>
          <w:r>
            <w:rPr>
              <w:rFonts w:hint="eastAsia"/>
            </w:rPr>
            <w:fldChar w:fldCharType="end"/>
          </w:r>
          <w:r>
            <w:rPr>
              <w:rFonts w:hint="eastAsia"/>
            </w:rPr>
            <w:fldChar w:fldCharType="end"/>
          </w:r>
        </w:p>
        <w:p w14:paraId="6F8BBFF9">
          <w:pPr>
            <w:pStyle w:val="14"/>
            <w:tabs>
              <w:tab w:val="right" w:leader="dot" w:pos="8720"/>
            </w:tabs>
            <w:ind w:left="640"/>
            <w:rPr>
              <w:rFonts w:hint="eastAsia" w:asciiTheme="minorHAnsi" w:eastAsiaTheme="minorEastAsia"/>
              <w:sz w:val="21"/>
              <w:szCs w:val="22"/>
              <w14:ligatures w14:val="standardContextual"/>
            </w:rPr>
          </w:pPr>
          <w:r>
            <w:fldChar w:fldCharType="begin"/>
          </w:r>
          <w:r>
            <w:instrText xml:space="preserve"> HYPERLINK \l "_Toc187608116" </w:instrText>
          </w:r>
          <w:r>
            <w:fldChar w:fldCharType="separate"/>
          </w:r>
          <w:r>
            <w:rPr>
              <w:rStyle w:val="20"/>
              <w:rFonts w:hint="eastAsia"/>
            </w:rPr>
            <w:t>5.3传承优秀传统文化</w:t>
          </w:r>
          <w:r>
            <w:rPr>
              <w:rFonts w:hint="eastAsia"/>
            </w:rPr>
            <w:tab/>
          </w:r>
          <w:r>
            <w:rPr>
              <w:rFonts w:hint="eastAsia"/>
            </w:rPr>
            <w:fldChar w:fldCharType="begin"/>
          </w:r>
          <w:r>
            <w:rPr>
              <w:rFonts w:hint="eastAsia"/>
            </w:rPr>
            <w:instrText xml:space="preserve"> </w:instrText>
          </w:r>
          <w:r>
            <w:instrText xml:space="preserve">PAGEREF _Toc187608116 \h</w:instrText>
          </w:r>
          <w:r>
            <w:rPr>
              <w:rFonts w:hint="eastAsia"/>
            </w:rPr>
            <w:instrText xml:space="preserve"> </w:instrText>
          </w:r>
          <w:r>
            <w:rPr>
              <w:rFonts w:hint="eastAsia"/>
            </w:rPr>
            <w:fldChar w:fldCharType="separate"/>
          </w:r>
          <w:r>
            <w:t>22</w:t>
          </w:r>
          <w:r>
            <w:rPr>
              <w:rFonts w:hint="eastAsia"/>
            </w:rPr>
            <w:fldChar w:fldCharType="end"/>
          </w:r>
          <w:r>
            <w:rPr>
              <w:rFonts w:hint="eastAsia"/>
            </w:rPr>
            <w:fldChar w:fldCharType="end"/>
          </w:r>
        </w:p>
        <w:p w14:paraId="5F50ACFD">
          <w:pPr>
            <w:pStyle w:val="11"/>
            <w:tabs>
              <w:tab w:val="right" w:leader="dot" w:pos="8720"/>
            </w:tabs>
            <w:rPr>
              <w:rFonts w:hint="eastAsia" w:asciiTheme="minorHAnsi" w:eastAsiaTheme="minorEastAsia"/>
              <w:sz w:val="21"/>
              <w:szCs w:val="22"/>
              <w14:ligatures w14:val="standardContextual"/>
            </w:rPr>
          </w:pPr>
          <w:r>
            <w:fldChar w:fldCharType="begin"/>
          </w:r>
          <w:r>
            <w:instrText xml:space="preserve"> HYPERLINK \l "_Toc187608117" </w:instrText>
          </w:r>
          <w:r>
            <w:fldChar w:fldCharType="separate"/>
          </w:r>
          <w:r>
            <w:rPr>
              <w:rStyle w:val="20"/>
              <w:rFonts w:hint="eastAsia"/>
            </w:rPr>
            <w:t>6.国际合作</w:t>
          </w:r>
          <w:r>
            <w:rPr>
              <w:rFonts w:hint="eastAsia"/>
            </w:rPr>
            <w:tab/>
          </w:r>
          <w:r>
            <w:rPr>
              <w:rFonts w:hint="eastAsia"/>
            </w:rPr>
            <w:fldChar w:fldCharType="begin"/>
          </w:r>
          <w:r>
            <w:rPr>
              <w:rFonts w:hint="eastAsia"/>
            </w:rPr>
            <w:instrText xml:space="preserve"> </w:instrText>
          </w:r>
          <w:r>
            <w:instrText xml:space="preserve">PAGEREF _Toc187608117 \h</w:instrText>
          </w:r>
          <w:r>
            <w:rPr>
              <w:rFonts w:hint="eastAsia"/>
            </w:rPr>
            <w:instrText xml:space="preserve"> </w:instrText>
          </w:r>
          <w:r>
            <w:rPr>
              <w:rFonts w:hint="eastAsia"/>
            </w:rPr>
            <w:fldChar w:fldCharType="separate"/>
          </w:r>
          <w:r>
            <w:t>26</w:t>
          </w:r>
          <w:r>
            <w:rPr>
              <w:rFonts w:hint="eastAsia"/>
            </w:rPr>
            <w:fldChar w:fldCharType="end"/>
          </w:r>
          <w:r>
            <w:rPr>
              <w:rFonts w:hint="eastAsia"/>
            </w:rPr>
            <w:fldChar w:fldCharType="end"/>
          </w:r>
        </w:p>
        <w:p w14:paraId="350957BA">
          <w:pPr>
            <w:pStyle w:val="14"/>
            <w:tabs>
              <w:tab w:val="right" w:leader="dot" w:pos="8720"/>
            </w:tabs>
            <w:ind w:left="640"/>
            <w:rPr>
              <w:rFonts w:hint="eastAsia" w:asciiTheme="minorHAnsi" w:eastAsiaTheme="minorEastAsia"/>
              <w:sz w:val="21"/>
              <w:szCs w:val="22"/>
              <w14:ligatures w14:val="standardContextual"/>
            </w:rPr>
          </w:pPr>
          <w:r>
            <w:fldChar w:fldCharType="begin"/>
          </w:r>
          <w:r>
            <w:instrText xml:space="preserve"> HYPERLINK \l "_Toc187608118" </w:instrText>
          </w:r>
          <w:r>
            <w:fldChar w:fldCharType="separate"/>
          </w:r>
          <w:r>
            <w:rPr>
              <w:rStyle w:val="20"/>
              <w:rFonts w:hint="eastAsia"/>
            </w:rPr>
            <w:t>6.1合作办学</w:t>
          </w:r>
          <w:r>
            <w:rPr>
              <w:rFonts w:hint="eastAsia"/>
            </w:rPr>
            <w:tab/>
          </w:r>
          <w:r>
            <w:rPr>
              <w:rFonts w:hint="eastAsia"/>
            </w:rPr>
            <w:fldChar w:fldCharType="begin"/>
          </w:r>
          <w:r>
            <w:rPr>
              <w:rFonts w:hint="eastAsia"/>
            </w:rPr>
            <w:instrText xml:space="preserve"> </w:instrText>
          </w:r>
          <w:r>
            <w:instrText xml:space="preserve">PAGEREF _Toc187608118 \h</w:instrText>
          </w:r>
          <w:r>
            <w:rPr>
              <w:rFonts w:hint="eastAsia"/>
            </w:rPr>
            <w:instrText xml:space="preserve"> </w:instrText>
          </w:r>
          <w:r>
            <w:rPr>
              <w:rFonts w:hint="eastAsia"/>
            </w:rPr>
            <w:fldChar w:fldCharType="separate"/>
          </w:r>
          <w:r>
            <w:t>26</w:t>
          </w:r>
          <w:r>
            <w:rPr>
              <w:rFonts w:hint="eastAsia"/>
            </w:rPr>
            <w:fldChar w:fldCharType="end"/>
          </w:r>
          <w:r>
            <w:rPr>
              <w:rFonts w:hint="eastAsia"/>
            </w:rPr>
            <w:fldChar w:fldCharType="end"/>
          </w:r>
        </w:p>
        <w:p w14:paraId="4277510A">
          <w:pPr>
            <w:pStyle w:val="14"/>
            <w:tabs>
              <w:tab w:val="right" w:leader="dot" w:pos="8720"/>
            </w:tabs>
            <w:ind w:left="640"/>
            <w:rPr>
              <w:rFonts w:hint="eastAsia" w:asciiTheme="minorHAnsi" w:eastAsiaTheme="minorEastAsia"/>
              <w:sz w:val="21"/>
              <w:szCs w:val="22"/>
              <w14:ligatures w14:val="standardContextual"/>
            </w:rPr>
          </w:pPr>
          <w:r>
            <w:fldChar w:fldCharType="begin"/>
          </w:r>
          <w:r>
            <w:instrText xml:space="preserve"> HYPERLINK \l "_Toc187608119" </w:instrText>
          </w:r>
          <w:r>
            <w:fldChar w:fldCharType="separate"/>
          </w:r>
          <w:r>
            <w:rPr>
              <w:rStyle w:val="20"/>
              <w:rFonts w:hint="eastAsia"/>
            </w:rPr>
            <w:t>6.2交流互鉴</w:t>
          </w:r>
          <w:r>
            <w:rPr>
              <w:rFonts w:hint="eastAsia"/>
            </w:rPr>
            <w:tab/>
          </w:r>
          <w:r>
            <w:rPr>
              <w:rFonts w:hint="eastAsia"/>
            </w:rPr>
            <w:fldChar w:fldCharType="begin"/>
          </w:r>
          <w:r>
            <w:rPr>
              <w:rFonts w:hint="eastAsia"/>
            </w:rPr>
            <w:instrText xml:space="preserve"> </w:instrText>
          </w:r>
          <w:r>
            <w:instrText xml:space="preserve">PAGEREF _Toc187608119 \h</w:instrText>
          </w:r>
          <w:r>
            <w:rPr>
              <w:rFonts w:hint="eastAsia"/>
            </w:rPr>
            <w:instrText xml:space="preserve"> </w:instrText>
          </w:r>
          <w:r>
            <w:rPr>
              <w:rFonts w:hint="eastAsia"/>
            </w:rPr>
            <w:fldChar w:fldCharType="separate"/>
          </w:r>
          <w:r>
            <w:t>26</w:t>
          </w:r>
          <w:r>
            <w:rPr>
              <w:rFonts w:hint="eastAsia"/>
            </w:rPr>
            <w:fldChar w:fldCharType="end"/>
          </w:r>
          <w:r>
            <w:rPr>
              <w:rFonts w:hint="eastAsia"/>
            </w:rPr>
            <w:fldChar w:fldCharType="end"/>
          </w:r>
        </w:p>
        <w:p w14:paraId="766CB7A2">
          <w:pPr>
            <w:pStyle w:val="11"/>
            <w:tabs>
              <w:tab w:val="right" w:leader="dot" w:pos="8720"/>
            </w:tabs>
            <w:rPr>
              <w:rFonts w:hint="eastAsia" w:asciiTheme="minorHAnsi" w:eastAsiaTheme="minorEastAsia"/>
              <w:sz w:val="21"/>
              <w:szCs w:val="22"/>
              <w14:ligatures w14:val="standardContextual"/>
            </w:rPr>
          </w:pPr>
          <w:r>
            <w:fldChar w:fldCharType="begin"/>
          </w:r>
          <w:r>
            <w:instrText xml:space="preserve"> HYPERLINK \l "_Toc187608120" </w:instrText>
          </w:r>
          <w:r>
            <w:fldChar w:fldCharType="separate"/>
          </w:r>
          <w:r>
            <w:rPr>
              <w:rStyle w:val="20"/>
              <w:rFonts w:hint="eastAsia"/>
            </w:rPr>
            <w:t>7.产教融合</w:t>
          </w:r>
          <w:r>
            <w:rPr>
              <w:rFonts w:hint="eastAsia"/>
            </w:rPr>
            <w:tab/>
          </w:r>
          <w:r>
            <w:rPr>
              <w:rFonts w:hint="eastAsia"/>
            </w:rPr>
            <w:fldChar w:fldCharType="begin"/>
          </w:r>
          <w:r>
            <w:rPr>
              <w:rFonts w:hint="eastAsia"/>
            </w:rPr>
            <w:instrText xml:space="preserve"> </w:instrText>
          </w:r>
          <w:r>
            <w:instrText xml:space="preserve">PAGEREF _Toc187608120 \h</w:instrText>
          </w:r>
          <w:r>
            <w:rPr>
              <w:rFonts w:hint="eastAsia"/>
            </w:rPr>
            <w:instrText xml:space="preserve"> </w:instrText>
          </w:r>
          <w:r>
            <w:rPr>
              <w:rFonts w:hint="eastAsia"/>
            </w:rPr>
            <w:fldChar w:fldCharType="separate"/>
          </w:r>
          <w:r>
            <w:t>28</w:t>
          </w:r>
          <w:r>
            <w:rPr>
              <w:rFonts w:hint="eastAsia"/>
            </w:rPr>
            <w:fldChar w:fldCharType="end"/>
          </w:r>
          <w:r>
            <w:rPr>
              <w:rFonts w:hint="eastAsia"/>
            </w:rPr>
            <w:fldChar w:fldCharType="end"/>
          </w:r>
        </w:p>
        <w:p w14:paraId="43CDBB3C">
          <w:pPr>
            <w:pStyle w:val="14"/>
            <w:tabs>
              <w:tab w:val="right" w:leader="dot" w:pos="8720"/>
            </w:tabs>
            <w:ind w:left="640"/>
            <w:rPr>
              <w:rFonts w:hint="eastAsia" w:asciiTheme="minorHAnsi" w:eastAsiaTheme="minorEastAsia"/>
              <w:sz w:val="21"/>
              <w:szCs w:val="22"/>
              <w14:ligatures w14:val="standardContextual"/>
            </w:rPr>
          </w:pPr>
          <w:r>
            <w:fldChar w:fldCharType="begin"/>
          </w:r>
          <w:r>
            <w:instrText xml:space="preserve"> HYPERLINK \l "_Toc187608121" </w:instrText>
          </w:r>
          <w:r>
            <w:fldChar w:fldCharType="separate"/>
          </w:r>
          <w:r>
            <w:rPr>
              <w:rStyle w:val="20"/>
              <w:rFonts w:hint="eastAsia"/>
            </w:rPr>
            <w:t>7.1机制共筑</w:t>
          </w:r>
          <w:r>
            <w:rPr>
              <w:rFonts w:hint="eastAsia"/>
            </w:rPr>
            <w:tab/>
          </w:r>
          <w:r>
            <w:rPr>
              <w:rFonts w:hint="eastAsia"/>
            </w:rPr>
            <w:fldChar w:fldCharType="begin"/>
          </w:r>
          <w:r>
            <w:rPr>
              <w:rFonts w:hint="eastAsia"/>
            </w:rPr>
            <w:instrText xml:space="preserve"> </w:instrText>
          </w:r>
          <w:r>
            <w:instrText xml:space="preserve">PAGEREF _Toc187608121 \h</w:instrText>
          </w:r>
          <w:r>
            <w:rPr>
              <w:rFonts w:hint="eastAsia"/>
            </w:rPr>
            <w:instrText xml:space="preserve"> </w:instrText>
          </w:r>
          <w:r>
            <w:rPr>
              <w:rFonts w:hint="eastAsia"/>
            </w:rPr>
            <w:fldChar w:fldCharType="separate"/>
          </w:r>
          <w:r>
            <w:t>28</w:t>
          </w:r>
          <w:r>
            <w:rPr>
              <w:rFonts w:hint="eastAsia"/>
            </w:rPr>
            <w:fldChar w:fldCharType="end"/>
          </w:r>
          <w:r>
            <w:rPr>
              <w:rFonts w:hint="eastAsia"/>
            </w:rPr>
            <w:fldChar w:fldCharType="end"/>
          </w:r>
        </w:p>
        <w:p w14:paraId="4694D087">
          <w:pPr>
            <w:pStyle w:val="14"/>
            <w:tabs>
              <w:tab w:val="right" w:leader="dot" w:pos="8720"/>
            </w:tabs>
            <w:ind w:left="640"/>
            <w:rPr>
              <w:rFonts w:hint="eastAsia" w:asciiTheme="minorHAnsi" w:eastAsiaTheme="minorEastAsia"/>
              <w:sz w:val="21"/>
              <w:szCs w:val="22"/>
              <w14:ligatures w14:val="standardContextual"/>
            </w:rPr>
          </w:pPr>
          <w:r>
            <w:fldChar w:fldCharType="begin"/>
          </w:r>
          <w:r>
            <w:instrText xml:space="preserve"> HYPERLINK \l "_Toc187608122" </w:instrText>
          </w:r>
          <w:r>
            <w:fldChar w:fldCharType="separate"/>
          </w:r>
          <w:r>
            <w:rPr>
              <w:rStyle w:val="20"/>
              <w:rFonts w:hint="eastAsia"/>
            </w:rPr>
            <w:t>7.2资源共建</w:t>
          </w:r>
          <w:r>
            <w:rPr>
              <w:rFonts w:hint="eastAsia"/>
            </w:rPr>
            <w:tab/>
          </w:r>
          <w:r>
            <w:rPr>
              <w:rFonts w:hint="eastAsia"/>
            </w:rPr>
            <w:fldChar w:fldCharType="begin"/>
          </w:r>
          <w:r>
            <w:rPr>
              <w:rFonts w:hint="eastAsia"/>
            </w:rPr>
            <w:instrText xml:space="preserve"> </w:instrText>
          </w:r>
          <w:r>
            <w:instrText xml:space="preserve">PAGEREF _Toc187608122 \h</w:instrText>
          </w:r>
          <w:r>
            <w:rPr>
              <w:rFonts w:hint="eastAsia"/>
            </w:rPr>
            <w:instrText xml:space="preserve"> </w:instrText>
          </w:r>
          <w:r>
            <w:rPr>
              <w:rFonts w:hint="eastAsia"/>
            </w:rPr>
            <w:fldChar w:fldCharType="separate"/>
          </w:r>
          <w:r>
            <w:t>28</w:t>
          </w:r>
          <w:r>
            <w:rPr>
              <w:rFonts w:hint="eastAsia"/>
            </w:rPr>
            <w:fldChar w:fldCharType="end"/>
          </w:r>
          <w:r>
            <w:rPr>
              <w:rFonts w:hint="eastAsia"/>
            </w:rPr>
            <w:fldChar w:fldCharType="end"/>
          </w:r>
        </w:p>
        <w:p w14:paraId="56109BD1">
          <w:pPr>
            <w:pStyle w:val="14"/>
            <w:tabs>
              <w:tab w:val="right" w:leader="dot" w:pos="8720"/>
            </w:tabs>
            <w:ind w:left="640"/>
            <w:rPr>
              <w:rFonts w:hint="eastAsia" w:asciiTheme="minorHAnsi" w:eastAsiaTheme="minorEastAsia"/>
              <w:sz w:val="21"/>
              <w:szCs w:val="22"/>
              <w14:ligatures w14:val="standardContextual"/>
            </w:rPr>
          </w:pPr>
          <w:r>
            <w:fldChar w:fldCharType="begin"/>
          </w:r>
          <w:r>
            <w:instrText xml:space="preserve"> HYPERLINK \l "_Toc187608123" </w:instrText>
          </w:r>
          <w:r>
            <w:fldChar w:fldCharType="separate"/>
          </w:r>
          <w:r>
            <w:rPr>
              <w:rStyle w:val="20"/>
              <w:rFonts w:hint="eastAsia"/>
            </w:rPr>
            <w:t>7.3人才共育</w:t>
          </w:r>
          <w:r>
            <w:rPr>
              <w:rFonts w:hint="eastAsia"/>
            </w:rPr>
            <w:tab/>
          </w:r>
          <w:r>
            <w:rPr>
              <w:rFonts w:hint="eastAsia"/>
            </w:rPr>
            <w:fldChar w:fldCharType="begin"/>
          </w:r>
          <w:r>
            <w:rPr>
              <w:rFonts w:hint="eastAsia"/>
            </w:rPr>
            <w:instrText xml:space="preserve"> </w:instrText>
          </w:r>
          <w:r>
            <w:instrText xml:space="preserve">PAGEREF _Toc187608123 \h</w:instrText>
          </w:r>
          <w:r>
            <w:rPr>
              <w:rFonts w:hint="eastAsia"/>
            </w:rPr>
            <w:instrText xml:space="preserve"> </w:instrText>
          </w:r>
          <w:r>
            <w:rPr>
              <w:rFonts w:hint="eastAsia"/>
            </w:rPr>
            <w:fldChar w:fldCharType="separate"/>
          </w:r>
          <w:r>
            <w:t>29</w:t>
          </w:r>
          <w:r>
            <w:rPr>
              <w:rFonts w:hint="eastAsia"/>
            </w:rPr>
            <w:fldChar w:fldCharType="end"/>
          </w:r>
          <w:r>
            <w:rPr>
              <w:rFonts w:hint="eastAsia"/>
            </w:rPr>
            <w:fldChar w:fldCharType="end"/>
          </w:r>
        </w:p>
        <w:p w14:paraId="5636736C">
          <w:pPr>
            <w:pStyle w:val="14"/>
            <w:tabs>
              <w:tab w:val="right" w:leader="dot" w:pos="8720"/>
            </w:tabs>
            <w:ind w:left="640"/>
            <w:rPr>
              <w:rFonts w:hint="eastAsia" w:asciiTheme="minorHAnsi" w:eastAsiaTheme="minorEastAsia"/>
              <w:sz w:val="21"/>
              <w:szCs w:val="22"/>
              <w14:ligatures w14:val="standardContextual"/>
            </w:rPr>
          </w:pPr>
          <w:r>
            <w:fldChar w:fldCharType="begin"/>
          </w:r>
          <w:r>
            <w:instrText xml:space="preserve"> HYPERLINK \l "_Toc187608124" </w:instrText>
          </w:r>
          <w:r>
            <w:fldChar w:fldCharType="separate"/>
          </w:r>
          <w:r>
            <w:rPr>
              <w:rStyle w:val="20"/>
              <w:rFonts w:hint="eastAsia"/>
            </w:rPr>
            <w:t>7.4双师共培</w:t>
          </w:r>
          <w:r>
            <w:rPr>
              <w:rFonts w:hint="eastAsia"/>
            </w:rPr>
            <w:tab/>
          </w:r>
          <w:r>
            <w:rPr>
              <w:rFonts w:hint="eastAsia"/>
            </w:rPr>
            <w:fldChar w:fldCharType="begin"/>
          </w:r>
          <w:r>
            <w:rPr>
              <w:rFonts w:hint="eastAsia"/>
            </w:rPr>
            <w:instrText xml:space="preserve"> </w:instrText>
          </w:r>
          <w:r>
            <w:instrText xml:space="preserve">PAGEREF _Toc187608124 \h</w:instrText>
          </w:r>
          <w:r>
            <w:rPr>
              <w:rFonts w:hint="eastAsia"/>
            </w:rPr>
            <w:instrText xml:space="preserve"> </w:instrText>
          </w:r>
          <w:r>
            <w:rPr>
              <w:rFonts w:hint="eastAsia"/>
            </w:rPr>
            <w:fldChar w:fldCharType="separate"/>
          </w:r>
          <w:r>
            <w:t>29</w:t>
          </w:r>
          <w:r>
            <w:rPr>
              <w:rFonts w:hint="eastAsia"/>
            </w:rPr>
            <w:fldChar w:fldCharType="end"/>
          </w:r>
          <w:r>
            <w:rPr>
              <w:rFonts w:hint="eastAsia"/>
            </w:rPr>
            <w:fldChar w:fldCharType="end"/>
          </w:r>
        </w:p>
        <w:p w14:paraId="01F6CF8E">
          <w:pPr>
            <w:pStyle w:val="11"/>
            <w:tabs>
              <w:tab w:val="right" w:leader="dot" w:pos="8720"/>
            </w:tabs>
            <w:rPr>
              <w:rFonts w:hint="eastAsia" w:asciiTheme="minorHAnsi" w:eastAsiaTheme="minorEastAsia"/>
              <w:sz w:val="21"/>
              <w:szCs w:val="22"/>
              <w14:ligatures w14:val="standardContextual"/>
            </w:rPr>
          </w:pPr>
          <w:r>
            <w:fldChar w:fldCharType="begin"/>
          </w:r>
          <w:r>
            <w:instrText xml:space="preserve"> HYPERLINK \l "_Toc187608125" </w:instrText>
          </w:r>
          <w:r>
            <w:fldChar w:fldCharType="separate"/>
          </w:r>
          <w:r>
            <w:rPr>
              <w:rStyle w:val="20"/>
              <w:rFonts w:hint="eastAsia"/>
            </w:rPr>
            <w:t>8.发展保障</w:t>
          </w:r>
          <w:r>
            <w:rPr>
              <w:rFonts w:hint="eastAsia"/>
            </w:rPr>
            <w:tab/>
          </w:r>
          <w:r>
            <w:rPr>
              <w:rFonts w:hint="eastAsia"/>
            </w:rPr>
            <w:fldChar w:fldCharType="begin"/>
          </w:r>
          <w:r>
            <w:rPr>
              <w:rFonts w:hint="eastAsia"/>
            </w:rPr>
            <w:instrText xml:space="preserve"> </w:instrText>
          </w:r>
          <w:r>
            <w:instrText xml:space="preserve">PAGEREF _Toc187608125 \h</w:instrText>
          </w:r>
          <w:r>
            <w:rPr>
              <w:rFonts w:hint="eastAsia"/>
            </w:rPr>
            <w:instrText xml:space="preserve"> </w:instrText>
          </w:r>
          <w:r>
            <w:rPr>
              <w:rFonts w:hint="eastAsia"/>
            </w:rPr>
            <w:fldChar w:fldCharType="separate"/>
          </w:r>
          <w:r>
            <w:t>32</w:t>
          </w:r>
          <w:r>
            <w:rPr>
              <w:rFonts w:hint="eastAsia"/>
            </w:rPr>
            <w:fldChar w:fldCharType="end"/>
          </w:r>
          <w:r>
            <w:rPr>
              <w:rFonts w:hint="eastAsia"/>
            </w:rPr>
            <w:fldChar w:fldCharType="end"/>
          </w:r>
        </w:p>
        <w:p w14:paraId="74851B7A">
          <w:pPr>
            <w:pStyle w:val="14"/>
            <w:tabs>
              <w:tab w:val="right" w:leader="dot" w:pos="8720"/>
            </w:tabs>
            <w:ind w:left="640"/>
            <w:rPr>
              <w:rFonts w:hint="eastAsia" w:asciiTheme="minorHAnsi" w:eastAsiaTheme="minorEastAsia"/>
              <w:sz w:val="21"/>
              <w:szCs w:val="22"/>
              <w14:ligatures w14:val="standardContextual"/>
            </w:rPr>
          </w:pPr>
          <w:r>
            <w:fldChar w:fldCharType="begin"/>
          </w:r>
          <w:r>
            <w:instrText xml:space="preserve"> HYPERLINK \l "_Toc187608126" </w:instrText>
          </w:r>
          <w:r>
            <w:fldChar w:fldCharType="separate"/>
          </w:r>
          <w:r>
            <w:rPr>
              <w:rStyle w:val="20"/>
              <w:rFonts w:hint="eastAsia"/>
            </w:rPr>
            <w:t>8.1党建引领</w:t>
          </w:r>
          <w:r>
            <w:rPr>
              <w:rFonts w:hint="eastAsia"/>
            </w:rPr>
            <w:tab/>
          </w:r>
          <w:r>
            <w:rPr>
              <w:rFonts w:hint="eastAsia"/>
            </w:rPr>
            <w:fldChar w:fldCharType="begin"/>
          </w:r>
          <w:r>
            <w:rPr>
              <w:rFonts w:hint="eastAsia"/>
            </w:rPr>
            <w:instrText xml:space="preserve"> </w:instrText>
          </w:r>
          <w:r>
            <w:instrText xml:space="preserve">PAGEREF _Toc187608126 \h</w:instrText>
          </w:r>
          <w:r>
            <w:rPr>
              <w:rFonts w:hint="eastAsia"/>
            </w:rPr>
            <w:instrText xml:space="preserve"> </w:instrText>
          </w:r>
          <w:r>
            <w:rPr>
              <w:rFonts w:hint="eastAsia"/>
            </w:rPr>
            <w:fldChar w:fldCharType="separate"/>
          </w:r>
          <w:r>
            <w:t>32</w:t>
          </w:r>
          <w:r>
            <w:rPr>
              <w:rFonts w:hint="eastAsia"/>
            </w:rPr>
            <w:fldChar w:fldCharType="end"/>
          </w:r>
          <w:r>
            <w:rPr>
              <w:rFonts w:hint="eastAsia"/>
            </w:rPr>
            <w:fldChar w:fldCharType="end"/>
          </w:r>
        </w:p>
        <w:p w14:paraId="317C0D90">
          <w:pPr>
            <w:pStyle w:val="14"/>
            <w:tabs>
              <w:tab w:val="right" w:leader="dot" w:pos="8720"/>
            </w:tabs>
            <w:ind w:left="640"/>
            <w:rPr>
              <w:rFonts w:hint="eastAsia" w:asciiTheme="minorHAnsi" w:eastAsiaTheme="minorEastAsia"/>
              <w:sz w:val="21"/>
              <w:szCs w:val="22"/>
              <w14:ligatures w14:val="standardContextual"/>
            </w:rPr>
          </w:pPr>
          <w:r>
            <w:fldChar w:fldCharType="begin"/>
          </w:r>
          <w:r>
            <w:instrText xml:space="preserve"> HYPERLINK \l "_Toc187608127" </w:instrText>
          </w:r>
          <w:r>
            <w:fldChar w:fldCharType="separate"/>
          </w:r>
          <w:r>
            <w:rPr>
              <w:rStyle w:val="20"/>
              <w:rFonts w:hint="eastAsia"/>
            </w:rPr>
            <w:t>8.2经费保障</w:t>
          </w:r>
          <w:r>
            <w:rPr>
              <w:rFonts w:hint="eastAsia"/>
            </w:rPr>
            <w:tab/>
          </w:r>
          <w:r>
            <w:rPr>
              <w:rFonts w:hint="eastAsia"/>
            </w:rPr>
            <w:fldChar w:fldCharType="begin"/>
          </w:r>
          <w:r>
            <w:rPr>
              <w:rFonts w:hint="eastAsia"/>
            </w:rPr>
            <w:instrText xml:space="preserve"> </w:instrText>
          </w:r>
          <w:r>
            <w:instrText xml:space="preserve">PAGEREF _Toc187608127 \h</w:instrText>
          </w:r>
          <w:r>
            <w:rPr>
              <w:rFonts w:hint="eastAsia"/>
            </w:rPr>
            <w:instrText xml:space="preserve"> </w:instrText>
          </w:r>
          <w:r>
            <w:rPr>
              <w:rFonts w:hint="eastAsia"/>
            </w:rPr>
            <w:fldChar w:fldCharType="separate"/>
          </w:r>
          <w:r>
            <w:t>34</w:t>
          </w:r>
          <w:r>
            <w:rPr>
              <w:rFonts w:hint="eastAsia"/>
            </w:rPr>
            <w:fldChar w:fldCharType="end"/>
          </w:r>
          <w:r>
            <w:rPr>
              <w:rFonts w:hint="eastAsia"/>
            </w:rPr>
            <w:fldChar w:fldCharType="end"/>
          </w:r>
        </w:p>
        <w:p w14:paraId="7F2109A0">
          <w:pPr>
            <w:pStyle w:val="14"/>
            <w:tabs>
              <w:tab w:val="right" w:leader="dot" w:pos="8720"/>
            </w:tabs>
            <w:ind w:left="640"/>
            <w:rPr>
              <w:rFonts w:hint="eastAsia" w:asciiTheme="minorHAnsi" w:eastAsiaTheme="minorEastAsia"/>
              <w:sz w:val="21"/>
              <w:szCs w:val="22"/>
              <w14:ligatures w14:val="standardContextual"/>
            </w:rPr>
          </w:pPr>
          <w:r>
            <w:fldChar w:fldCharType="begin"/>
          </w:r>
          <w:r>
            <w:instrText xml:space="preserve"> HYPERLINK \l "_Toc187608128" </w:instrText>
          </w:r>
          <w:r>
            <w:fldChar w:fldCharType="separate"/>
          </w:r>
          <w:r>
            <w:rPr>
              <w:rStyle w:val="20"/>
              <w:rFonts w:hint="eastAsia"/>
            </w:rPr>
            <w:t>8.3条件保障</w:t>
          </w:r>
          <w:r>
            <w:rPr>
              <w:rFonts w:hint="eastAsia"/>
            </w:rPr>
            <w:tab/>
          </w:r>
          <w:r>
            <w:rPr>
              <w:rFonts w:hint="eastAsia"/>
            </w:rPr>
            <w:fldChar w:fldCharType="begin"/>
          </w:r>
          <w:r>
            <w:rPr>
              <w:rFonts w:hint="eastAsia"/>
            </w:rPr>
            <w:instrText xml:space="preserve"> </w:instrText>
          </w:r>
          <w:r>
            <w:instrText xml:space="preserve">PAGEREF _Toc187608128 \h</w:instrText>
          </w:r>
          <w:r>
            <w:rPr>
              <w:rFonts w:hint="eastAsia"/>
            </w:rPr>
            <w:instrText xml:space="preserve"> </w:instrText>
          </w:r>
          <w:r>
            <w:rPr>
              <w:rFonts w:hint="eastAsia"/>
            </w:rPr>
            <w:fldChar w:fldCharType="separate"/>
          </w:r>
          <w:r>
            <w:t>34</w:t>
          </w:r>
          <w:r>
            <w:rPr>
              <w:rFonts w:hint="eastAsia"/>
            </w:rPr>
            <w:fldChar w:fldCharType="end"/>
          </w:r>
          <w:r>
            <w:rPr>
              <w:rFonts w:hint="eastAsia"/>
            </w:rPr>
            <w:fldChar w:fldCharType="end"/>
          </w:r>
        </w:p>
        <w:p w14:paraId="317B47CC">
          <w:pPr>
            <w:pStyle w:val="14"/>
            <w:tabs>
              <w:tab w:val="right" w:leader="dot" w:pos="8720"/>
            </w:tabs>
            <w:ind w:left="640"/>
            <w:rPr>
              <w:rFonts w:hint="eastAsia" w:asciiTheme="minorHAnsi" w:eastAsiaTheme="minorEastAsia"/>
              <w:sz w:val="21"/>
              <w:szCs w:val="22"/>
              <w14:ligatures w14:val="standardContextual"/>
            </w:rPr>
          </w:pPr>
          <w:r>
            <w:fldChar w:fldCharType="begin"/>
          </w:r>
          <w:r>
            <w:instrText xml:space="preserve"> HYPERLINK \l "_Toc187608129" </w:instrText>
          </w:r>
          <w:r>
            <w:fldChar w:fldCharType="separate"/>
          </w:r>
          <w:r>
            <w:rPr>
              <w:rStyle w:val="20"/>
              <w:rFonts w:hint="eastAsia"/>
            </w:rPr>
            <w:t>8.4质量保障</w:t>
          </w:r>
          <w:r>
            <w:rPr>
              <w:rFonts w:hint="eastAsia"/>
            </w:rPr>
            <w:tab/>
          </w:r>
          <w:r>
            <w:rPr>
              <w:rFonts w:hint="eastAsia"/>
            </w:rPr>
            <w:fldChar w:fldCharType="begin"/>
          </w:r>
          <w:r>
            <w:rPr>
              <w:rFonts w:hint="eastAsia"/>
            </w:rPr>
            <w:instrText xml:space="preserve"> </w:instrText>
          </w:r>
          <w:r>
            <w:instrText xml:space="preserve">PAGEREF _Toc187608129 \h</w:instrText>
          </w:r>
          <w:r>
            <w:rPr>
              <w:rFonts w:hint="eastAsia"/>
            </w:rPr>
            <w:instrText xml:space="preserve"> </w:instrText>
          </w:r>
          <w:r>
            <w:rPr>
              <w:rFonts w:hint="eastAsia"/>
            </w:rPr>
            <w:fldChar w:fldCharType="separate"/>
          </w:r>
          <w:r>
            <w:t>34</w:t>
          </w:r>
          <w:r>
            <w:rPr>
              <w:rFonts w:hint="eastAsia"/>
            </w:rPr>
            <w:fldChar w:fldCharType="end"/>
          </w:r>
          <w:r>
            <w:rPr>
              <w:rFonts w:hint="eastAsia"/>
            </w:rPr>
            <w:fldChar w:fldCharType="end"/>
          </w:r>
        </w:p>
        <w:p w14:paraId="617E1C92">
          <w:pPr>
            <w:pStyle w:val="14"/>
            <w:tabs>
              <w:tab w:val="right" w:leader="dot" w:pos="8720"/>
            </w:tabs>
            <w:ind w:left="640"/>
            <w:rPr>
              <w:rFonts w:hint="eastAsia" w:asciiTheme="minorHAnsi" w:eastAsiaTheme="minorEastAsia"/>
              <w:sz w:val="21"/>
              <w:szCs w:val="22"/>
              <w14:ligatures w14:val="standardContextual"/>
            </w:rPr>
          </w:pPr>
          <w:r>
            <w:fldChar w:fldCharType="begin"/>
          </w:r>
          <w:r>
            <w:instrText xml:space="preserve"> HYPERLINK \l "_Toc187608130" </w:instrText>
          </w:r>
          <w:r>
            <w:fldChar w:fldCharType="separate"/>
          </w:r>
          <w:r>
            <w:rPr>
              <w:rStyle w:val="20"/>
              <w:rFonts w:hint="eastAsia"/>
            </w:rPr>
            <w:t>8.5政策保障</w:t>
          </w:r>
          <w:r>
            <w:rPr>
              <w:rFonts w:hint="eastAsia"/>
            </w:rPr>
            <w:tab/>
          </w:r>
          <w:r>
            <w:rPr>
              <w:rFonts w:hint="eastAsia"/>
            </w:rPr>
            <w:fldChar w:fldCharType="begin"/>
          </w:r>
          <w:r>
            <w:rPr>
              <w:rFonts w:hint="eastAsia"/>
            </w:rPr>
            <w:instrText xml:space="preserve"> </w:instrText>
          </w:r>
          <w:r>
            <w:instrText xml:space="preserve">PAGEREF _Toc187608130 \h</w:instrText>
          </w:r>
          <w:r>
            <w:rPr>
              <w:rFonts w:hint="eastAsia"/>
            </w:rPr>
            <w:instrText xml:space="preserve"> </w:instrText>
          </w:r>
          <w:r>
            <w:rPr>
              <w:rFonts w:hint="eastAsia"/>
            </w:rPr>
            <w:fldChar w:fldCharType="separate"/>
          </w:r>
          <w:r>
            <w:t>35</w:t>
          </w:r>
          <w:r>
            <w:rPr>
              <w:rFonts w:hint="eastAsia"/>
            </w:rPr>
            <w:fldChar w:fldCharType="end"/>
          </w:r>
          <w:r>
            <w:rPr>
              <w:rFonts w:hint="eastAsia"/>
            </w:rPr>
            <w:fldChar w:fldCharType="end"/>
          </w:r>
        </w:p>
        <w:p w14:paraId="3E1B0779">
          <w:pPr>
            <w:pStyle w:val="11"/>
            <w:tabs>
              <w:tab w:val="right" w:leader="dot" w:pos="8720"/>
            </w:tabs>
            <w:rPr>
              <w:rFonts w:hint="eastAsia" w:asciiTheme="minorHAnsi"/>
              <w:sz w:val="21"/>
              <w:szCs w:val="22"/>
              <w14:ligatures w14:val="standardContextual"/>
            </w:rPr>
          </w:pPr>
          <w:r>
            <w:fldChar w:fldCharType="begin"/>
          </w:r>
          <w:r>
            <w:instrText xml:space="preserve"> HYPERLINK \l "_Toc187608131" </w:instrText>
          </w:r>
          <w:r>
            <w:fldChar w:fldCharType="separate"/>
          </w:r>
          <w:r>
            <w:rPr>
              <w:rStyle w:val="20"/>
              <w:rFonts w:hint="eastAsia"/>
            </w:rPr>
            <w:t>9.面临挑战与展望</w:t>
          </w:r>
          <w:r>
            <w:rPr>
              <w:rFonts w:hint="eastAsia"/>
            </w:rPr>
            <w:tab/>
          </w:r>
          <w:r>
            <w:rPr>
              <w:rFonts w:hint="eastAsia"/>
            </w:rPr>
            <w:t>3</w:t>
          </w:r>
          <w:r>
            <w:rPr>
              <w:rFonts w:hint="eastAsia"/>
            </w:rPr>
            <w:fldChar w:fldCharType="end"/>
          </w:r>
          <w:r>
            <w:rPr>
              <w:rFonts w:hint="eastAsia"/>
            </w:rPr>
            <w:t>6</w:t>
          </w:r>
        </w:p>
        <w:p w14:paraId="2DFA7F28">
          <w:pPr>
            <w:pStyle w:val="14"/>
            <w:tabs>
              <w:tab w:val="right" w:leader="dot" w:pos="8720"/>
            </w:tabs>
            <w:ind w:left="640"/>
            <w:rPr>
              <w:rFonts w:hint="eastAsia" w:asciiTheme="minorHAnsi"/>
              <w:sz w:val="21"/>
              <w:szCs w:val="22"/>
              <w14:ligatures w14:val="standardContextual"/>
            </w:rPr>
          </w:pPr>
          <w:r>
            <w:fldChar w:fldCharType="begin"/>
          </w:r>
          <w:r>
            <w:instrText xml:space="preserve"> HYPERLINK \l "_Toc187608132" </w:instrText>
          </w:r>
          <w:r>
            <w:fldChar w:fldCharType="separate"/>
          </w:r>
          <w:r>
            <w:rPr>
              <w:rStyle w:val="20"/>
              <w:rFonts w:hint="eastAsia"/>
            </w:rPr>
            <w:t>9.1面临挑战</w:t>
          </w:r>
          <w:r>
            <w:rPr>
              <w:rFonts w:hint="eastAsia"/>
            </w:rPr>
            <w:tab/>
          </w:r>
          <w:r>
            <w:rPr>
              <w:rFonts w:hint="eastAsia"/>
            </w:rPr>
            <w:t>3</w:t>
          </w:r>
          <w:r>
            <w:rPr>
              <w:rFonts w:hint="eastAsia"/>
            </w:rPr>
            <w:fldChar w:fldCharType="end"/>
          </w:r>
          <w:r>
            <w:rPr>
              <w:rFonts w:hint="eastAsia"/>
            </w:rPr>
            <w:t>6</w:t>
          </w:r>
        </w:p>
        <w:p w14:paraId="0332CE34">
          <w:pPr>
            <w:pStyle w:val="14"/>
            <w:tabs>
              <w:tab w:val="right" w:leader="dot" w:pos="8720"/>
            </w:tabs>
            <w:ind w:left="640"/>
            <w:rPr>
              <w:rFonts w:hint="eastAsia" w:asciiTheme="minorHAnsi"/>
              <w:sz w:val="21"/>
              <w:szCs w:val="22"/>
              <w14:ligatures w14:val="standardContextual"/>
            </w:rPr>
          </w:pPr>
          <w:r>
            <w:fldChar w:fldCharType="begin"/>
          </w:r>
          <w:r>
            <w:instrText xml:space="preserve"> HYPERLINK \l "_Toc187608133" </w:instrText>
          </w:r>
          <w:r>
            <w:fldChar w:fldCharType="separate"/>
          </w:r>
          <w:r>
            <w:rPr>
              <w:rStyle w:val="20"/>
              <w:rFonts w:hint="eastAsia"/>
            </w:rPr>
            <w:t>9.2未来展望</w:t>
          </w:r>
          <w:r>
            <w:rPr>
              <w:rFonts w:hint="eastAsia"/>
            </w:rPr>
            <w:tab/>
          </w:r>
          <w:r>
            <w:rPr>
              <w:rFonts w:hint="eastAsia"/>
            </w:rPr>
            <w:t>3</w:t>
          </w:r>
          <w:r>
            <w:rPr>
              <w:rFonts w:hint="eastAsia"/>
            </w:rPr>
            <w:fldChar w:fldCharType="end"/>
          </w:r>
          <w:r>
            <w:rPr>
              <w:rFonts w:hint="eastAsia"/>
            </w:rPr>
            <w:t>6</w:t>
          </w:r>
        </w:p>
        <w:p w14:paraId="4F1D48FA">
          <w:pPr>
            <w:rPr>
              <w:rFonts w:hint="eastAsia"/>
              <w:b/>
              <w:bCs/>
              <w:lang w:val="zh-CN"/>
            </w:rPr>
          </w:pPr>
          <w:r>
            <w:rPr>
              <w:b/>
              <w:bCs/>
              <w:lang w:val="zh-CN"/>
            </w:rPr>
            <w:fldChar w:fldCharType="end"/>
          </w:r>
        </w:p>
      </w:sdtContent>
    </w:sdt>
    <w:p w14:paraId="31857F7B">
      <w:pPr>
        <w:widowControl/>
        <w:spacing w:line="240" w:lineRule="auto"/>
        <w:jc w:val="left"/>
        <w:rPr>
          <w:rFonts w:hint="eastAsia"/>
          <w:b/>
          <w:bCs/>
          <w:lang w:val="zh-CN"/>
        </w:rPr>
      </w:pPr>
      <w:r>
        <w:rPr>
          <w:b/>
          <w:bCs/>
          <w:lang w:val="zh-CN"/>
        </w:rPr>
        <w:br w:type="page"/>
      </w:r>
    </w:p>
    <w:p w14:paraId="6978684C">
      <w:pPr>
        <w:jc w:val="center"/>
        <w:rPr>
          <w:rFonts w:hint="eastAsia" w:hAnsiTheme="majorHAnsi" w:cstheme="majorBidi"/>
          <w:b/>
          <w:bCs/>
          <w:kern w:val="0"/>
          <w:szCs w:val="32"/>
          <w:lang w:val="zh-CN"/>
        </w:rPr>
      </w:pPr>
      <w:r>
        <w:rPr>
          <w:rFonts w:hint="eastAsia" w:hAnsiTheme="majorHAnsi" w:cstheme="majorBidi"/>
          <w:b/>
          <w:bCs/>
          <w:kern w:val="0"/>
          <w:szCs w:val="32"/>
          <w:lang w:val="zh-CN"/>
        </w:rPr>
        <w:t>表目录</w:t>
      </w:r>
    </w:p>
    <w:p w14:paraId="4B462AEA">
      <w:pPr>
        <w:tabs>
          <w:tab w:val="right" w:leader="dot" w:pos="7980"/>
        </w:tabs>
        <w:jc w:val="left"/>
        <w:rPr>
          <w:rFonts w:hint="eastAsia"/>
          <w:szCs w:val="32"/>
        </w:rPr>
      </w:pPr>
      <w:r>
        <w:rPr>
          <w:rFonts w:hint="eastAsia"/>
          <w:szCs w:val="32"/>
        </w:rPr>
        <w:t>表</w:t>
      </w:r>
      <w:r>
        <w:rPr>
          <w:szCs w:val="32"/>
        </w:rPr>
        <w:t xml:space="preserve">1-1  </w:t>
      </w:r>
      <w:r>
        <w:rPr>
          <w:rFonts w:hint="eastAsia"/>
          <w:szCs w:val="32"/>
        </w:rPr>
        <w:t>临沂艺术学校专业设置一览表</w:t>
      </w:r>
      <w:r>
        <w:rPr>
          <w:szCs w:val="32"/>
        </w:rPr>
        <w:tab/>
      </w:r>
      <w:r>
        <w:rPr>
          <w:rFonts w:hint="eastAsia"/>
          <w:szCs w:val="32"/>
        </w:rPr>
        <w:t>1</w:t>
      </w:r>
    </w:p>
    <w:p w14:paraId="5DE91DC9">
      <w:pPr>
        <w:tabs>
          <w:tab w:val="right" w:leader="dot" w:pos="7980"/>
        </w:tabs>
        <w:jc w:val="left"/>
        <w:rPr>
          <w:rFonts w:hint="eastAsia"/>
          <w:szCs w:val="32"/>
        </w:rPr>
      </w:pPr>
      <w:r>
        <w:rPr>
          <w:rFonts w:hint="eastAsia"/>
          <w:szCs w:val="32"/>
        </w:rPr>
        <w:t>表</w:t>
      </w:r>
      <w:r>
        <w:rPr>
          <w:szCs w:val="32"/>
        </w:rPr>
        <w:t xml:space="preserve">1-2  </w:t>
      </w:r>
      <w:r>
        <w:rPr>
          <w:rFonts w:hint="eastAsia"/>
          <w:szCs w:val="32"/>
        </w:rPr>
        <w:t>临沂艺术学校学生情况</w:t>
      </w:r>
      <w:r>
        <w:rPr>
          <w:szCs w:val="32"/>
        </w:rPr>
        <w:t>表</w:t>
      </w:r>
      <w:r>
        <w:rPr>
          <w:szCs w:val="32"/>
        </w:rPr>
        <w:tab/>
      </w:r>
      <w:r>
        <w:rPr>
          <w:rFonts w:hint="eastAsia"/>
          <w:szCs w:val="32"/>
        </w:rPr>
        <w:t>2</w:t>
      </w:r>
    </w:p>
    <w:p w14:paraId="53288C7F">
      <w:pPr>
        <w:tabs>
          <w:tab w:val="right" w:leader="dot" w:pos="7980"/>
        </w:tabs>
        <w:jc w:val="left"/>
        <w:rPr>
          <w:rFonts w:hint="eastAsia"/>
          <w:szCs w:val="32"/>
        </w:rPr>
      </w:pPr>
      <w:r>
        <w:rPr>
          <w:rFonts w:hint="eastAsia"/>
          <w:szCs w:val="32"/>
        </w:rPr>
        <w:t>表</w:t>
      </w:r>
      <w:r>
        <w:rPr>
          <w:szCs w:val="32"/>
        </w:rPr>
        <w:t xml:space="preserve">1-3  </w:t>
      </w:r>
      <w:r>
        <w:rPr>
          <w:rFonts w:hint="eastAsia"/>
          <w:szCs w:val="32"/>
        </w:rPr>
        <w:t>临沂艺术学校教师队伍情况统计表</w:t>
      </w:r>
      <w:r>
        <w:rPr>
          <w:szCs w:val="32"/>
        </w:rPr>
        <w:tab/>
      </w:r>
      <w:r>
        <w:rPr>
          <w:rFonts w:hint="eastAsia"/>
          <w:szCs w:val="32"/>
        </w:rPr>
        <w:t>3</w:t>
      </w:r>
    </w:p>
    <w:p w14:paraId="55A2D43A">
      <w:pPr>
        <w:tabs>
          <w:tab w:val="right" w:leader="dot" w:pos="7980"/>
        </w:tabs>
        <w:jc w:val="left"/>
        <w:rPr>
          <w:rFonts w:hint="eastAsia"/>
          <w:szCs w:val="32"/>
        </w:rPr>
      </w:pPr>
      <w:r>
        <w:rPr>
          <w:rFonts w:hint="eastAsia"/>
          <w:szCs w:val="32"/>
        </w:rPr>
        <w:t>表2</w:t>
      </w:r>
      <w:r>
        <w:rPr>
          <w:szCs w:val="32"/>
        </w:rPr>
        <w:t>-</w:t>
      </w:r>
      <w:r>
        <w:rPr>
          <w:rFonts w:hint="eastAsia"/>
          <w:szCs w:val="32"/>
        </w:rPr>
        <w:t>1</w:t>
      </w:r>
      <w:r>
        <w:rPr>
          <w:szCs w:val="32"/>
        </w:rPr>
        <w:t xml:space="preserve">  </w:t>
      </w:r>
      <w:r>
        <w:rPr>
          <w:rFonts w:hint="eastAsia"/>
          <w:szCs w:val="32"/>
        </w:rPr>
        <w:t>临沂艺术学校202</w:t>
      </w:r>
      <w:r>
        <w:rPr>
          <w:rFonts w:hint="eastAsia"/>
          <w:szCs w:val="32"/>
          <w:lang w:val="en-US" w:eastAsia="zh-CN"/>
        </w:rPr>
        <w:t>5</w:t>
      </w:r>
      <w:r>
        <w:rPr>
          <w:rFonts w:hint="eastAsia"/>
          <w:szCs w:val="32"/>
        </w:rPr>
        <w:t>年学生体测数据表</w:t>
      </w:r>
      <w:r>
        <w:rPr>
          <w:szCs w:val="32"/>
        </w:rPr>
        <w:tab/>
      </w:r>
      <w:r>
        <w:rPr>
          <w:rFonts w:hint="eastAsia"/>
          <w:szCs w:val="32"/>
        </w:rPr>
        <w:t>7</w:t>
      </w:r>
    </w:p>
    <w:p w14:paraId="62B4AB15">
      <w:pPr>
        <w:tabs>
          <w:tab w:val="right" w:leader="dot" w:pos="7980"/>
        </w:tabs>
        <w:jc w:val="left"/>
        <w:rPr>
          <w:rFonts w:hint="eastAsia"/>
          <w:szCs w:val="32"/>
        </w:rPr>
      </w:pPr>
      <w:r>
        <w:rPr>
          <w:rFonts w:hint="eastAsia"/>
          <w:szCs w:val="32"/>
        </w:rPr>
        <w:t>表2</w:t>
      </w:r>
      <w:r>
        <w:rPr>
          <w:szCs w:val="32"/>
        </w:rPr>
        <w:t>-</w:t>
      </w:r>
      <w:r>
        <w:rPr>
          <w:rFonts w:hint="eastAsia"/>
          <w:szCs w:val="32"/>
        </w:rPr>
        <w:t>2</w:t>
      </w:r>
      <w:r>
        <w:rPr>
          <w:szCs w:val="32"/>
        </w:rPr>
        <w:t xml:space="preserve">  </w:t>
      </w:r>
      <w:r>
        <w:rPr>
          <w:rFonts w:hint="eastAsia"/>
          <w:szCs w:val="32"/>
        </w:rPr>
        <w:t>临沂艺术学校202</w:t>
      </w:r>
      <w:r>
        <w:rPr>
          <w:rFonts w:hint="eastAsia"/>
          <w:szCs w:val="32"/>
          <w:lang w:val="en-US" w:eastAsia="zh-CN"/>
        </w:rPr>
        <w:t>5</w:t>
      </w:r>
      <w:r>
        <w:rPr>
          <w:rFonts w:hint="eastAsia"/>
          <w:szCs w:val="32"/>
        </w:rPr>
        <w:t>年毕业生去向统计表</w:t>
      </w:r>
      <w:r>
        <w:rPr>
          <w:szCs w:val="32"/>
        </w:rPr>
        <w:tab/>
      </w:r>
      <w:r>
        <w:rPr>
          <w:rFonts w:hint="eastAsia"/>
          <w:szCs w:val="32"/>
        </w:rPr>
        <w:t>7</w:t>
      </w:r>
    </w:p>
    <w:p w14:paraId="481421B1">
      <w:pPr>
        <w:widowControl/>
        <w:jc w:val="left"/>
        <w:rPr>
          <w:rFonts w:hint="eastAsia"/>
          <w:szCs w:val="32"/>
        </w:rPr>
      </w:pPr>
      <w:r>
        <w:rPr>
          <w:rFonts w:hint="eastAsia"/>
          <w:szCs w:val="32"/>
        </w:rPr>
        <w:br w:type="page"/>
      </w:r>
    </w:p>
    <w:p w14:paraId="475D4DB4">
      <w:pPr>
        <w:jc w:val="center"/>
        <w:rPr>
          <w:rFonts w:hint="eastAsia"/>
          <w:b/>
          <w:bCs/>
          <w:szCs w:val="32"/>
        </w:rPr>
      </w:pPr>
      <w:r>
        <w:rPr>
          <w:rFonts w:hint="eastAsia"/>
          <w:b/>
          <w:bCs/>
          <w:szCs w:val="32"/>
        </w:rPr>
        <w:t>图目录</w:t>
      </w:r>
    </w:p>
    <w:p w14:paraId="41190CAA">
      <w:pPr>
        <w:tabs>
          <w:tab w:val="right" w:leader="dot" w:pos="7980"/>
        </w:tabs>
        <w:jc w:val="left"/>
        <w:rPr>
          <w:rFonts w:hint="default" w:eastAsia="仿宋_GB2312"/>
          <w:szCs w:val="32"/>
          <w:lang w:val="en-US" w:eastAsia="zh-CN"/>
        </w:rPr>
      </w:pPr>
      <w:r>
        <w:rPr>
          <w:rFonts w:hint="eastAsia"/>
          <w:szCs w:val="32"/>
        </w:rPr>
        <w:t>图2</w:t>
      </w:r>
      <w:r>
        <w:rPr>
          <w:szCs w:val="32"/>
        </w:rPr>
        <w:t xml:space="preserve">-1 </w:t>
      </w:r>
      <w:r>
        <w:rPr>
          <w:rFonts w:hint="eastAsia"/>
          <w:szCs w:val="32"/>
          <w:lang w:eastAsia="zh-CN"/>
        </w:rPr>
        <w:t>学习贯彻党的二十届三中全会精神市委宣讲团到临沂艺术学校宣讲</w:t>
      </w:r>
      <w:r>
        <w:rPr>
          <w:szCs w:val="32"/>
        </w:rPr>
        <w:tab/>
      </w:r>
      <w:r>
        <w:rPr>
          <w:rFonts w:hint="eastAsia"/>
          <w:szCs w:val="32"/>
          <w:lang w:val="en-US" w:eastAsia="zh-CN"/>
        </w:rPr>
        <w:t>5</w:t>
      </w:r>
    </w:p>
    <w:p w14:paraId="7907A388">
      <w:pPr>
        <w:tabs>
          <w:tab w:val="right" w:leader="dot" w:pos="7980"/>
        </w:tabs>
        <w:jc w:val="left"/>
        <w:rPr>
          <w:rFonts w:hint="default" w:eastAsia="仿宋_GB2312"/>
          <w:szCs w:val="32"/>
          <w:lang w:val="en-US" w:eastAsia="zh-CN"/>
        </w:rPr>
      </w:pPr>
      <w:r>
        <w:rPr>
          <w:rFonts w:hint="eastAsia"/>
          <w:szCs w:val="32"/>
        </w:rPr>
        <w:t>图2</w:t>
      </w:r>
      <w:r>
        <w:rPr>
          <w:szCs w:val="32"/>
        </w:rPr>
        <w:t xml:space="preserve">-2 </w:t>
      </w:r>
      <w:r>
        <w:rPr>
          <w:rFonts w:hint="eastAsia"/>
          <w:szCs w:val="32"/>
        </w:rPr>
        <w:t>临沂艺术学校开展植树节主题活动</w:t>
      </w:r>
      <w:r>
        <w:rPr>
          <w:szCs w:val="32"/>
        </w:rPr>
        <w:tab/>
      </w:r>
      <w:r>
        <w:rPr>
          <w:rFonts w:hint="eastAsia"/>
          <w:szCs w:val="32"/>
          <w:lang w:val="en-US" w:eastAsia="zh-CN"/>
        </w:rPr>
        <w:t>6</w:t>
      </w:r>
    </w:p>
    <w:p w14:paraId="0B5B777E">
      <w:pPr>
        <w:tabs>
          <w:tab w:val="right" w:leader="dot" w:pos="7980"/>
        </w:tabs>
        <w:jc w:val="left"/>
        <w:rPr>
          <w:rFonts w:hint="eastAsia"/>
          <w:szCs w:val="32"/>
        </w:rPr>
      </w:pPr>
      <w:r>
        <w:rPr>
          <w:rFonts w:hint="eastAsia"/>
          <w:szCs w:val="32"/>
        </w:rPr>
        <w:t>图2</w:t>
      </w:r>
      <w:r>
        <w:rPr>
          <w:szCs w:val="32"/>
        </w:rPr>
        <w:t xml:space="preserve">-3 </w:t>
      </w:r>
      <w:r>
        <w:rPr>
          <w:rFonts w:hint="eastAsia"/>
          <w:szCs w:val="32"/>
        </w:rPr>
        <w:t>1+X数字影像处理职业技能等级证书认证考试现</w:t>
      </w:r>
    </w:p>
    <w:p w14:paraId="49E438D5">
      <w:pPr>
        <w:tabs>
          <w:tab w:val="right" w:leader="dot" w:pos="7980"/>
        </w:tabs>
        <w:jc w:val="left"/>
        <w:rPr>
          <w:rFonts w:hint="eastAsia"/>
          <w:szCs w:val="32"/>
        </w:rPr>
      </w:pPr>
      <w:r>
        <w:rPr>
          <w:rFonts w:hint="eastAsia"/>
          <w:szCs w:val="32"/>
        </w:rPr>
        <w:t>场</w:t>
      </w:r>
      <w:r>
        <w:rPr>
          <w:szCs w:val="32"/>
        </w:rPr>
        <w:tab/>
      </w:r>
      <w:r>
        <w:rPr>
          <w:rFonts w:hint="eastAsia"/>
          <w:szCs w:val="32"/>
        </w:rPr>
        <w:t>1</w:t>
      </w:r>
      <w:r>
        <w:rPr>
          <w:szCs w:val="32"/>
        </w:rPr>
        <w:t>0</w:t>
      </w:r>
    </w:p>
    <w:p w14:paraId="07DCE6F9">
      <w:pPr>
        <w:tabs>
          <w:tab w:val="right" w:leader="dot" w:pos="7980"/>
        </w:tabs>
        <w:jc w:val="left"/>
        <w:rPr>
          <w:szCs w:val="32"/>
        </w:rPr>
      </w:pPr>
      <w:r>
        <w:rPr>
          <w:rFonts w:hint="eastAsia"/>
          <w:szCs w:val="32"/>
        </w:rPr>
        <w:t>图2</w:t>
      </w:r>
      <w:r>
        <w:rPr>
          <w:szCs w:val="32"/>
        </w:rPr>
        <w:t xml:space="preserve">-4 </w:t>
      </w:r>
      <w:r>
        <w:rPr>
          <w:rFonts w:hint="eastAsia"/>
          <w:szCs w:val="32"/>
        </w:rPr>
        <w:t>临沂艺术学校“幕启繁花”视听展演舞台记忆</w:t>
      </w:r>
      <w:r>
        <w:rPr>
          <w:szCs w:val="32"/>
        </w:rPr>
        <w:tab/>
      </w:r>
    </w:p>
    <w:p w14:paraId="08A2A0D1">
      <w:pPr>
        <w:tabs>
          <w:tab w:val="right" w:leader="dot" w:pos="7980"/>
        </w:tabs>
        <w:jc w:val="left"/>
        <w:rPr>
          <w:rFonts w:hint="eastAsia" w:eastAsia="仿宋_GB2312"/>
          <w:szCs w:val="32"/>
          <w:lang w:eastAsia="zh-CN"/>
        </w:rPr>
      </w:pPr>
      <w:r>
        <w:rPr>
          <w:szCs w:val="32"/>
        </w:rPr>
        <w:tab/>
      </w:r>
      <w:r>
        <w:rPr>
          <w:rFonts w:hint="eastAsia"/>
          <w:szCs w:val="32"/>
        </w:rPr>
        <w:t>1</w:t>
      </w:r>
      <w:r>
        <w:rPr>
          <w:rFonts w:hint="eastAsia"/>
          <w:szCs w:val="32"/>
          <w:lang w:val="en-US" w:eastAsia="zh-CN"/>
        </w:rPr>
        <w:t>1</w:t>
      </w:r>
    </w:p>
    <w:p w14:paraId="62003117">
      <w:pPr>
        <w:tabs>
          <w:tab w:val="right" w:leader="dot" w:pos="7980"/>
        </w:tabs>
        <w:jc w:val="left"/>
        <w:rPr>
          <w:rFonts w:hint="eastAsia"/>
          <w:szCs w:val="32"/>
        </w:rPr>
      </w:pPr>
      <w:r>
        <w:rPr>
          <w:rFonts w:hint="eastAsia"/>
          <w:szCs w:val="32"/>
        </w:rPr>
        <w:t>图2</w:t>
      </w:r>
      <w:r>
        <w:rPr>
          <w:szCs w:val="32"/>
        </w:rPr>
        <w:t xml:space="preserve">-5 </w:t>
      </w:r>
      <w:r>
        <w:rPr>
          <w:rFonts w:hint="eastAsia"/>
          <w:szCs w:val="32"/>
        </w:rPr>
        <w:t>临沂艺术学校摄影展及跳蚤市场活动现场</w:t>
      </w:r>
      <w:r>
        <w:rPr>
          <w:szCs w:val="32"/>
        </w:rPr>
        <w:tab/>
      </w:r>
      <w:r>
        <w:rPr>
          <w:rFonts w:hint="eastAsia"/>
          <w:szCs w:val="32"/>
        </w:rPr>
        <w:t>1</w:t>
      </w:r>
      <w:r>
        <w:rPr>
          <w:rFonts w:hint="eastAsia"/>
          <w:szCs w:val="32"/>
          <w:lang w:val="en-US" w:eastAsia="zh-CN"/>
        </w:rPr>
        <w:t>2</w:t>
      </w:r>
      <w:r>
        <w:rPr>
          <w:szCs w:val="32"/>
        </w:rPr>
        <w:tab/>
      </w:r>
    </w:p>
    <w:p w14:paraId="01507CB1">
      <w:pPr>
        <w:tabs>
          <w:tab w:val="right" w:leader="dot" w:pos="7980"/>
        </w:tabs>
        <w:jc w:val="left"/>
        <w:rPr>
          <w:rFonts w:hint="eastAsia" w:eastAsia="仿宋_GB2312"/>
          <w:szCs w:val="32"/>
          <w:lang w:eastAsia="zh-CN"/>
        </w:rPr>
      </w:pPr>
      <w:r>
        <w:rPr>
          <w:rFonts w:hint="eastAsia"/>
          <w:szCs w:val="32"/>
        </w:rPr>
        <w:t>图3</w:t>
      </w:r>
      <w:r>
        <w:rPr>
          <w:szCs w:val="32"/>
        </w:rPr>
        <w:t>-</w:t>
      </w:r>
      <w:r>
        <w:rPr>
          <w:rFonts w:hint="eastAsia"/>
          <w:szCs w:val="32"/>
        </w:rPr>
        <w:t>1</w:t>
      </w:r>
      <w:r>
        <w:rPr>
          <w:szCs w:val="32"/>
        </w:rPr>
        <w:t xml:space="preserve"> </w:t>
      </w:r>
      <w:r>
        <w:rPr>
          <w:rFonts w:hint="eastAsia"/>
          <w:szCs w:val="32"/>
        </w:rPr>
        <w:t>“艺心向党绘丹青 沂蒙画卷展华章”教学汇报展开幕式</w:t>
      </w:r>
      <w:r>
        <w:rPr>
          <w:szCs w:val="32"/>
        </w:rPr>
        <w:tab/>
      </w:r>
      <w:r>
        <w:rPr>
          <w:rFonts w:hint="eastAsia"/>
          <w:szCs w:val="32"/>
        </w:rPr>
        <w:t>1</w:t>
      </w:r>
      <w:r>
        <w:rPr>
          <w:rFonts w:hint="eastAsia"/>
          <w:szCs w:val="32"/>
          <w:lang w:val="en-US" w:eastAsia="zh-CN"/>
        </w:rPr>
        <w:t>6</w:t>
      </w:r>
    </w:p>
    <w:p w14:paraId="43E2865A">
      <w:pPr>
        <w:tabs>
          <w:tab w:val="right" w:leader="dot" w:pos="7980"/>
        </w:tabs>
        <w:jc w:val="left"/>
        <w:rPr>
          <w:rFonts w:hint="default" w:eastAsia="仿宋_GB2312"/>
          <w:szCs w:val="32"/>
          <w:lang w:val="en-US" w:eastAsia="zh-CN"/>
        </w:rPr>
      </w:pPr>
      <w:r>
        <w:rPr>
          <w:rFonts w:hint="eastAsia"/>
          <w:szCs w:val="32"/>
        </w:rPr>
        <w:t>图4</w:t>
      </w:r>
      <w:r>
        <w:rPr>
          <w:szCs w:val="32"/>
        </w:rPr>
        <w:t>-</w:t>
      </w:r>
      <w:r>
        <w:rPr>
          <w:rFonts w:hint="eastAsia"/>
          <w:szCs w:val="32"/>
        </w:rPr>
        <w:t>1</w:t>
      </w:r>
      <w:r>
        <w:rPr>
          <w:szCs w:val="32"/>
        </w:rPr>
        <w:t xml:space="preserve"> </w:t>
      </w:r>
      <w:r>
        <w:rPr>
          <w:rFonts w:hint="eastAsia"/>
          <w:szCs w:val="32"/>
        </w:rPr>
        <w:t>临沂艺术学校教师在云蒙实验小学授课现场</w:t>
      </w:r>
      <w:r>
        <w:rPr>
          <w:szCs w:val="32"/>
        </w:rPr>
        <w:tab/>
      </w:r>
      <w:r>
        <w:rPr>
          <w:rFonts w:hint="eastAsia"/>
          <w:szCs w:val="32"/>
          <w:lang w:val="en-US" w:eastAsia="zh-CN"/>
        </w:rPr>
        <w:t>19</w:t>
      </w:r>
    </w:p>
    <w:p w14:paraId="64490A44">
      <w:pPr>
        <w:tabs>
          <w:tab w:val="right" w:leader="dot" w:pos="7980"/>
        </w:tabs>
        <w:jc w:val="left"/>
        <w:rPr>
          <w:rFonts w:hint="eastAsia" w:eastAsia="仿宋_GB2312"/>
          <w:szCs w:val="32"/>
          <w:lang w:eastAsia="zh-CN"/>
        </w:rPr>
      </w:pPr>
      <w:r>
        <w:rPr>
          <w:rFonts w:hint="eastAsia"/>
          <w:szCs w:val="32"/>
        </w:rPr>
        <w:t>图4</w:t>
      </w:r>
      <w:r>
        <w:rPr>
          <w:szCs w:val="32"/>
        </w:rPr>
        <w:t>-</w:t>
      </w:r>
      <w:r>
        <w:rPr>
          <w:rFonts w:hint="eastAsia"/>
          <w:szCs w:val="32"/>
        </w:rPr>
        <w:t>2</w:t>
      </w:r>
      <w:r>
        <w:rPr>
          <w:szCs w:val="32"/>
        </w:rPr>
        <w:t xml:space="preserve"> </w:t>
      </w:r>
      <w:r>
        <w:rPr>
          <w:rFonts w:hint="eastAsia"/>
          <w:szCs w:val="32"/>
        </w:rPr>
        <w:t>歌剧《沂蒙山》进社区活动现场</w:t>
      </w:r>
      <w:r>
        <w:rPr>
          <w:szCs w:val="32"/>
        </w:rPr>
        <w:tab/>
      </w:r>
      <w:r>
        <w:rPr>
          <w:szCs w:val="32"/>
        </w:rPr>
        <w:t>2</w:t>
      </w:r>
      <w:r>
        <w:rPr>
          <w:rFonts w:hint="eastAsia"/>
          <w:szCs w:val="32"/>
          <w:lang w:val="en-US" w:eastAsia="zh-CN"/>
        </w:rPr>
        <w:t>0</w:t>
      </w:r>
    </w:p>
    <w:p w14:paraId="611BB382">
      <w:pPr>
        <w:tabs>
          <w:tab w:val="right" w:leader="dot" w:pos="7980"/>
        </w:tabs>
        <w:jc w:val="left"/>
        <w:rPr>
          <w:rFonts w:hint="eastAsia"/>
          <w:szCs w:val="32"/>
        </w:rPr>
      </w:pPr>
      <w:r>
        <w:rPr>
          <w:rFonts w:hint="eastAsia"/>
          <w:szCs w:val="32"/>
        </w:rPr>
        <w:t>图5</w:t>
      </w:r>
      <w:r>
        <w:rPr>
          <w:szCs w:val="32"/>
        </w:rPr>
        <w:t>-</w:t>
      </w:r>
      <w:r>
        <w:rPr>
          <w:rFonts w:hint="eastAsia"/>
          <w:szCs w:val="32"/>
        </w:rPr>
        <w:t>1</w:t>
      </w:r>
      <w:r>
        <w:rPr>
          <w:szCs w:val="32"/>
        </w:rPr>
        <w:t xml:space="preserve"> </w:t>
      </w:r>
      <w:r>
        <w:rPr>
          <w:rFonts w:hint="eastAsia"/>
          <w:szCs w:val="32"/>
        </w:rPr>
        <w:t>“凝心铸魂 齐心筑梦——巾帼劳模进校园同上一</w:t>
      </w:r>
    </w:p>
    <w:p w14:paraId="7EC27623">
      <w:pPr>
        <w:tabs>
          <w:tab w:val="right" w:leader="dot" w:pos="7980"/>
        </w:tabs>
        <w:jc w:val="left"/>
        <w:rPr>
          <w:rFonts w:hint="eastAsia" w:eastAsia="仿宋_GB2312"/>
          <w:szCs w:val="32"/>
          <w:lang w:eastAsia="zh-CN"/>
        </w:rPr>
      </w:pPr>
      <w:r>
        <w:rPr>
          <w:rFonts w:hint="eastAsia"/>
          <w:szCs w:val="32"/>
        </w:rPr>
        <w:t>堂思政课”现场</w:t>
      </w:r>
      <w:r>
        <w:rPr>
          <w:szCs w:val="32"/>
        </w:rPr>
        <w:tab/>
      </w:r>
      <w:r>
        <w:rPr>
          <w:szCs w:val="32"/>
        </w:rPr>
        <w:t>2</w:t>
      </w:r>
      <w:r>
        <w:rPr>
          <w:rFonts w:hint="eastAsia"/>
          <w:szCs w:val="32"/>
          <w:lang w:val="en-US" w:eastAsia="zh-CN"/>
        </w:rPr>
        <w:t>1</w:t>
      </w:r>
    </w:p>
    <w:p w14:paraId="65FFB04C">
      <w:pPr>
        <w:tabs>
          <w:tab w:val="right" w:leader="dot" w:pos="7980"/>
        </w:tabs>
        <w:jc w:val="left"/>
        <w:rPr>
          <w:szCs w:val="32"/>
        </w:rPr>
      </w:pPr>
      <w:r>
        <w:rPr>
          <w:rFonts w:hint="eastAsia"/>
          <w:szCs w:val="32"/>
        </w:rPr>
        <w:t>图5</w:t>
      </w:r>
      <w:r>
        <w:rPr>
          <w:szCs w:val="32"/>
        </w:rPr>
        <w:t>-</w:t>
      </w:r>
      <w:r>
        <w:rPr>
          <w:rFonts w:hint="eastAsia"/>
          <w:szCs w:val="32"/>
        </w:rPr>
        <w:t>2</w:t>
      </w:r>
      <w:r>
        <w:rPr>
          <w:szCs w:val="32"/>
        </w:rPr>
        <w:t xml:space="preserve"> </w:t>
      </w:r>
      <w:r>
        <w:rPr>
          <w:rFonts w:hint="eastAsia"/>
          <w:szCs w:val="32"/>
        </w:rPr>
        <w:t>临沂艺术学校学生在沂蒙革命纪念馆参观学习</w:t>
      </w:r>
      <w:r>
        <w:rPr>
          <w:szCs w:val="32"/>
        </w:rPr>
        <w:tab/>
      </w:r>
    </w:p>
    <w:p w14:paraId="47CE5552">
      <w:pPr>
        <w:tabs>
          <w:tab w:val="right" w:leader="dot" w:pos="7980"/>
        </w:tabs>
        <w:jc w:val="left"/>
        <w:rPr>
          <w:rFonts w:hint="eastAsia" w:eastAsia="仿宋_GB2312"/>
          <w:szCs w:val="32"/>
          <w:lang w:eastAsia="zh-CN"/>
        </w:rPr>
      </w:pPr>
      <w:r>
        <w:rPr>
          <w:szCs w:val="32"/>
        </w:rPr>
        <w:tab/>
      </w:r>
      <w:r>
        <w:rPr>
          <w:szCs w:val="32"/>
        </w:rPr>
        <w:t>2</w:t>
      </w:r>
      <w:r>
        <w:rPr>
          <w:rFonts w:hint="eastAsia"/>
          <w:szCs w:val="32"/>
          <w:lang w:val="en-US" w:eastAsia="zh-CN"/>
        </w:rPr>
        <w:t>2</w:t>
      </w:r>
    </w:p>
    <w:p w14:paraId="51AC163C">
      <w:pPr>
        <w:tabs>
          <w:tab w:val="right" w:leader="dot" w:pos="7980"/>
        </w:tabs>
        <w:jc w:val="left"/>
        <w:rPr>
          <w:rFonts w:hint="eastAsia" w:eastAsia="仿宋_GB2312"/>
          <w:szCs w:val="32"/>
          <w:lang w:eastAsia="zh-CN"/>
        </w:rPr>
      </w:pPr>
      <w:r>
        <w:rPr>
          <w:rFonts w:hint="eastAsia"/>
          <w:szCs w:val="32"/>
        </w:rPr>
        <w:t>图5</w:t>
      </w:r>
      <w:r>
        <w:rPr>
          <w:szCs w:val="32"/>
        </w:rPr>
        <w:t>-</w:t>
      </w:r>
      <w:r>
        <w:rPr>
          <w:rFonts w:hint="eastAsia"/>
          <w:szCs w:val="32"/>
        </w:rPr>
        <w:t>3</w:t>
      </w:r>
      <w:r>
        <w:rPr>
          <w:szCs w:val="32"/>
        </w:rPr>
        <w:t xml:space="preserve"> </w:t>
      </w:r>
      <w:r>
        <w:rPr>
          <w:rFonts w:hint="eastAsia"/>
          <w:szCs w:val="32"/>
        </w:rPr>
        <w:t>戏曲进校园走进临沂艺术学校</w:t>
      </w:r>
      <w:r>
        <w:rPr>
          <w:szCs w:val="32"/>
        </w:rPr>
        <w:tab/>
      </w:r>
      <w:r>
        <w:rPr>
          <w:rFonts w:hint="eastAsia"/>
          <w:szCs w:val="32"/>
        </w:rPr>
        <w:t>2</w:t>
      </w:r>
      <w:r>
        <w:rPr>
          <w:rFonts w:hint="eastAsia"/>
          <w:szCs w:val="32"/>
          <w:lang w:val="en-US" w:eastAsia="zh-CN"/>
        </w:rPr>
        <w:t>3</w:t>
      </w:r>
    </w:p>
    <w:p w14:paraId="51DDE7C5">
      <w:pPr>
        <w:tabs>
          <w:tab w:val="right" w:leader="dot" w:pos="7980"/>
        </w:tabs>
        <w:jc w:val="left"/>
        <w:rPr>
          <w:rFonts w:hint="eastAsia" w:eastAsia="仿宋_GB2312"/>
          <w:szCs w:val="32"/>
          <w:lang w:eastAsia="zh-CN"/>
        </w:rPr>
      </w:pPr>
      <w:r>
        <w:rPr>
          <w:rFonts w:hint="eastAsia"/>
          <w:szCs w:val="32"/>
        </w:rPr>
        <w:t>图5</w:t>
      </w:r>
      <w:r>
        <w:rPr>
          <w:szCs w:val="32"/>
        </w:rPr>
        <w:t>-</w:t>
      </w:r>
      <w:r>
        <w:rPr>
          <w:rFonts w:hint="eastAsia"/>
          <w:szCs w:val="32"/>
        </w:rPr>
        <w:t>4</w:t>
      </w:r>
      <w:r>
        <w:rPr>
          <w:szCs w:val="32"/>
        </w:rPr>
        <w:t xml:space="preserve"> </w:t>
      </w:r>
      <w:r>
        <w:rPr>
          <w:rFonts w:hint="eastAsia"/>
          <w:szCs w:val="32"/>
        </w:rPr>
        <w:t>“我为英雄描碑文”活动现场</w:t>
      </w:r>
      <w:r>
        <w:rPr>
          <w:szCs w:val="32"/>
        </w:rPr>
        <w:tab/>
      </w:r>
      <w:r>
        <w:rPr>
          <w:szCs w:val="32"/>
        </w:rPr>
        <w:t>2</w:t>
      </w:r>
      <w:r>
        <w:rPr>
          <w:rFonts w:hint="eastAsia"/>
          <w:szCs w:val="32"/>
          <w:lang w:val="en-US" w:eastAsia="zh-CN"/>
        </w:rPr>
        <w:t>4</w:t>
      </w:r>
    </w:p>
    <w:p w14:paraId="6E100EDC">
      <w:pPr>
        <w:tabs>
          <w:tab w:val="right" w:leader="dot" w:pos="7980"/>
        </w:tabs>
        <w:jc w:val="left"/>
        <w:rPr>
          <w:rFonts w:hint="eastAsia"/>
          <w:szCs w:val="32"/>
          <w:lang w:val="en-US" w:eastAsia="zh-CN"/>
        </w:rPr>
      </w:pPr>
      <w:r>
        <w:rPr>
          <w:rFonts w:hint="eastAsia"/>
          <w:szCs w:val="32"/>
        </w:rPr>
        <w:t>图5</w:t>
      </w:r>
      <w:r>
        <w:rPr>
          <w:szCs w:val="32"/>
        </w:rPr>
        <w:t>-</w:t>
      </w:r>
      <w:r>
        <w:rPr>
          <w:rFonts w:hint="eastAsia"/>
          <w:szCs w:val="32"/>
        </w:rPr>
        <w:t>5</w:t>
      </w:r>
      <w:r>
        <w:rPr>
          <w:szCs w:val="32"/>
        </w:rPr>
        <w:t xml:space="preserve"> </w:t>
      </w:r>
      <w:r>
        <w:rPr>
          <w:rFonts w:hint="eastAsia"/>
          <w:szCs w:val="32"/>
        </w:rPr>
        <w:t>苗氏剪纸传承人指导学生剪纸创作</w:t>
      </w:r>
      <w:r>
        <w:rPr>
          <w:szCs w:val="32"/>
        </w:rPr>
        <w:tab/>
      </w:r>
      <w:r>
        <w:rPr>
          <w:rFonts w:hint="eastAsia"/>
          <w:szCs w:val="32"/>
        </w:rPr>
        <w:t>2</w:t>
      </w:r>
      <w:r>
        <w:rPr>
          <w:rFonts w:hint="eastAsia"/>
          <w:szCs w:val="32"/>
          <w:lang w:val="en-US" w:eastAsia="zh-CN"/>
        </w:rPr>
        <w:t>5</w:t>
      </w:r>
    </w:p>
    <w:p w14:paraId="15E690DB">
      <w:pPr>
        <w:tabs>
          <w:tab w:val="right" w:leader="dot" w:pos="7980"/>
        </w:tabs>
        <w:jc w:val="left"/>
        <w:rPr>
          <w:rFonts w:hint="eastAsia" w:eastAsia="仿宋_GB2312"/>
          <w:szCs w:val="32"/>
          <w:lang w:eastAsia="zh-CN"/>
        </w:rPr>
      </w:pPr>
      <w:r>
        <w:rPr>
          <w:rFonts w:hint="eastAsia"/>
          <w:szCs w:val="32"/>
        </w:rPr>
        <w:t>图6-1</w:t>
      </w:r>
      <w:r>
        <w:rPr>
          <w:szCs w:val="32"/>
        </w:rPr>
        <w:t xml:space="preserve"> </w:t>
      </w:r>
      <w:r>
        <w:rPr>
          <w:rFonts w:hint="eastAsia"/>
          <w:szCs w:val="32"/>
        </w:rPr>
        <w:t>临沂艺术学校与马来西亚苏丹伊德里斯教育大学建立合作</w:t>
      </w:r>
      <w:r>
        <w:rPr>
          <w:szCs w:val="32"/>
        </w:rPr>
        <w:tab/>
      </w:r>
      <w:r>
        <w:rPr>
          <w:rFonts w:hint="eastAsia"/>
          <w:szCs w:val="32"/>
        </w:rPr>
        <w:t>2</w:t>
      </w:r>
      <w:r>
        <w:rPr>
          <w:rFonts w:hint="eastAsia"/>
          <w:szCs w:val="32"/>
          <w:lang w:val="en-US" w:eastAsia="zh-CN"/>
        </w:rPr>
        <w:t>6</w:t>
      </w:r>
    </w:p>
    <w:p w14:paraId="1913B045">
      <w:pPr>
        <w:tabs>
          <w:tab w:val="right" w:leader="dot" w:pos="7980"/>
        </w:tabs>
        <w:jc w:val="left"/>
        <w:rPr>
          <w:rFonts w:hint="eastAsia" w:eastAsia="仿宋_GB2312"/>
          <w:szCs w:val="32"/>
          <w:lang w:eastAsia="zh-CN"/>
        </w:rPr>
      </w:pPr>
      <w:r>
        <w:rPr>
          <w:rFonts w:hint="eastAsia"/>
          <w:szCs w:val="32"/>
        </w:rPr>
        <w:t>图7</w:t>
      </w:r>
      <w:r>
        <w:rPr>
          <w:szCs w:val="32"/>
        </w:rPr>
        <w:t>-</w:t>
      </w:r>
      <w:r>
        <w:rPr>
          <w:rFonts w:hint="eastAsia"/>
          <w:szCs w:val="32"/>
        </w:rPr>
        <w:t>1</w:t>
      </w:r>
      <w:r>
        <w:rPr>
          <w:szCs w:val="32"/>
        </w:rPr>
        <w:t xml:space="preserve"> </w:t>
      </w:r>
      <w:r>
        <w:rPr>
          <w:rFonts w:hint="eastAsia"/>
          <w:szCs w:val="32"/>
        </w:rPr>
        <w:t>临沂艺术学校产教融合实训基地揭牌仪式在天泽木文化博物馆举行</w:t>
      </w:r>
      <w:r>
        <w:rPr>
          <w:szCs w:val="32"/>
        </w:rPr>
        <w:tab/>
      </w:r>
      <w:r>
        <w:rPr>
          <w:rFonts w:hint="eastAsia"/>
          <w:szCs w:val="32"/>
        </w:rPr>
        <w:t>2</w:t>
      </w:r>
      <w:r>
        <w:rPr>
          <w:rFonts w:hint="eastAsia"/>
          <w:szCs w:val="32"/>
          <w:lang w:val="en-US" w:eastAsia="zh-CN"/>
        </w:rPr>
        <w:t>8</w:t>
      </w:r>
    </w:p>
    <w:p w14:paraId="235DFA8B">
      <w:pPr>
        <w:tabs>
          <w:tab w:val="right" w:leader="dot" w:pos="7980"/>
        </w:tabs>
        <w:jc w:val="left"/>
        <w:rPr>
          <w:rFonts w:hint="eastAsia" w:eastAsia="仿宋_GB2312"/>
          <w:szCs w:val="32"/>
          <w:lang w:eastAsia="zh-CN"/>
        </w:rPr>
      </w:pPr>
      <w:r>
        <w:rPr>
          <w:rFonts w:hint="eastAsia"/>
          <w:szCs w:val="32"/>
        </w:rPr>
        <w:t>图7</w:t>
      </w:r>
      <w:r>
        <w:rPr>
          <w:szCs w:val="32"/>
        </w:rPr>
        <w:t>-</w:t>
      </w:r>
      <w:r>
        <w:rPr>
          <w:rFonts w:hint="eastAsia"/>
          <w:szCs w:val="32"/>
        </w:rPr>
        <w:t>2</w:t>
      </w:r>
      <w:r>
        <w:rPr>
          <w:szCs w:val="32"/>
        </w:rPr>
        <w:t xml:space="preserve"> </w:t>
      </w:r>
      <w:r>
        <w:rPr>
          <w:rFonts w:hint="eastAsia"/>
          <w:szCs w:val="32"/>
        </w:rPr>
        <w:t>临沂艺术学校教师聆听卞成飞老师讲解</w:t>
      </w:r>
      <w:r>
        <w:rPr>
          <w:szCs w:val="32"/>
        </w:rPr>
        <w:tab/>
      </w:r>
      <w:r>
        <w:rPr>
          <w:szCs w:val="32"/>
        </w:rPr>
        <w:t>3</w:t>
      </w:r>
      <w:r>
        <w:rPr>
          <w:rFonts w:hint="eastAsia"/>
          <w:szCs w:val="32"/>
          <w:lang w:val="en-US" w:eastAsia="zh-CN"/>
        </w:rPr>
        <w:t>0</w:t>
      </w:r>
    </w:p>
    <w:p w14:paraId="6761782A">
      <w:pPr>
        <w:tabs>
          <w:tab w:val="right" w:leader="dot" w:pos="7980"/>
        </w:tabs>
        <w:jc w:val="left"/>
        <w:rPr>
          <w:rFonts w:hint="eastAsia" w:eastAsia="仿宋_GB2312"/>
          <w:szCs w:val="32"/>
          <w:lang w:eastAsia="zh-CN"/>
        </w:rPr>
      </w:pPr>
      <w:r>
        <w:rPr>
          <w:rFonts w:hint="eastAsia"/>
          <w:szCs w:val="32"/>
        </w:rPr>
        <w:t>图7</w:t>
      </w:r>
      <w:r>
        <w:rPr>
          <w:szCs w:val="32"/>
        </w:rPr>
        <w:t>-</w:t>
      </w:r>
      <w:r>
        <w:rPr>
          <w:rFonts w:hint="eastAsia"/>
          <w:szCs w:val="32"/>
        </w:rPr>
        <w:t>3</w:t>
      </w:r>
      <w:r>
        <w:rPr>
          <w:szCs w:val="32"/>
        </w:rPr>
        <w:t xml:space="preserve"> </w:t>
      </w:r>
      <w:r>
        <w:rPr>
          <w:rFonts w:hint="eastAsia"/>
          <w:szCs w:val="32"/>
        </w:rPr>
        <w:t>临沂市文旅行业校企合作对话会现场</w:t>
      </w:r>
      <w:r>
        <w:rPr>
          <w:szCs w:val="32"/>
        </w:rPr>
        <w:tab/>
      </w:r>
      <w:r>
        <w:rPr>
          <w:szCs w:val="32"/>
        </w:rPr>
        <w:t>3</w:t>
      </w:r>
      <w:r>
        <w:rPr>
          <w:rFonts w:hint="eastAsia"/>
          <w:szCs w:val="32"/>
          <w:lang w:val="en-US" w:eastAsia="zh-CN"/>
        </w:rPr>
        <w:t>1</w:t>
      </w:r>
    </w:p>
    <w:p w14:paraId="214BE303">
      <w:pPr>
        <w:widowControl/>
        <w:jc w:val="left"/>
        <w:rPr>
          <w:rFonts w:hint="eastAsia"/>
          <w:szCs w:val="32"/>
        </w:rPr>
      </w:pPr>
      <w:r>
        <w:rPr>
          <w:rFonts w:hint="eastAsia"/>
          <w:szCs w:val="32"/>
        </w:rPr>
        <w:br w:type="page"/>
      </w:r>
    </w:p>
    <w:p w14:paraId="7750B850">
      <w:pPr>
        <w:jc w:val="center"/>
        <w:rPr>
          <w:rFonts w:hint="eastAsia"/>
          <w:b/>
          <w:bCs/>
          <w:szCs w:val="32"/>
        </w:rPr>
      </w:pPr>
      <w:r>
        <w:rPr>
          <w:rFonts w:hint="eastAsia"/>
          <w:b/>
          <w:bCs/>
          <w:szCs w:val="32"/>
        </w:rPr>
        <w:t>案例目录</w:t>
      </w:r>
    </w:p>
    <w:p w14:paraId="6EBBC72D">
      <w:pPr>
        <w:tabs>
          <w:tab w:val="right" w:leader="dot" w:pos="7980"/>
        </w:tabs>
        <w:rPr>
          <w:rFonts w:hint="eastAsia"/>
          <w:szCs w:val="32"/>
        </w:rPr>
      </w:pPr>
      <w:r>
        <w:rPr>
          <w:rFonts w:hint="eastAsia"/>
          <w:szCs w:val="32"/>
        </w:rPr>
        <w:t>典型案例2</w:t>
      </w:r>
      <w:r>
        <w:rPr>
          <w:szCs w:val="32"/>
        </w:rPr>
        <w:t xml:space="preserve">-1 </w:t>
      </w:r>
      <w:r>
        <w:rPr>
          <w:rFonts w:hint="eastAsia"/>
          <w:szCs w:val="32"/>
          <w:lang w:eastAsia="zh-CN"/>
        </w:rPr>
        <w:t>临沂艺术学校</w:t>
      </w:r>
      <w:r>
        <w:rPr>
          <w:rFonts w:hint="eastAsia"/>
          <w:szCs w:val="32"/>
        </w:rPr>
        <w:t>“幕启繁花”视听展演</w:t>
      </w:r>
      <w:r>
        <w:rPr>
          <w:szCs w:val="32"/>
        </w:rPr>
        <w:tab/>
      </w:r>
      <w:r>
        <w:rPr>
          <w:rFonts w:hint="eastAsia"/>
          <w:szCs w:val="32"/>
        </w:rPr>
        <w:t>10</w:t>
      </w:r>
    </w:p>
    <w:p w14:paraId="34D4FBC4">
      <w:pPr>
        <w:tabs>
          <w:tab w:val="right" w:leader="dot" w:pos="7980"/>
        </w:tabs>
        <w:rPr>
          <w:rFonts w:hint="eastAsia"/>
          <w:szCs w:val="32"/>
        </w:rPr>
      </w:pPr>
      <w:r>
        <w:rPr>
          <w:rFonts w:hint="eastAsia"/>
          <w:szCs w:val="32"/>
        </w:rPr>
        <w:t>典型案例2</w:t>
      </w:r>
      <w:r>
        <w:rPr>
          <w:szCs w:val="32"/>
        </w:rPr>
        <w:t xml:space="preserve">-2 </w:t>
      </w:r>
      <w:r>
        <w:rPr>
          <w:rFonts w:hint="eastAsia"/>
          <w:szCs w:val="32"/>
          <w:lang w:eastAsia="zh-CN"/>
        </w:rPr>
        <w:t>临沂艺术学校</w:t>
      </w:r>
      <w:r>
        <w:rPr>
          <w:rFonts w:hint="eastAsia"/>
          <w:szCs w:val="32"/>
        </w:rPr>
        <w:t>摄影展及跳蚤市场活动</w:t>
      </w:r>
      <w:r>
        <w:rPr>
          <w:szCs w:val="32"/>
        </w:rPr>
        <w:tab/>
      </w:r>
      <w:r>
        <w:rPr>
          <w:rFonts w:hint="eastAsia"/>
          <w:szCs w:val="32"/>
        </w:rPr>
        <w:t>11</w:t>
      </w:r>
    </w:p>
    <w:p w14:paraId="69CB4FC3">
      <w:pPr>
        <w:tabs>
          <w:tab w:val="right" w:leader="dot" w:pos="7980"/>
        </w:tabs>
        <w:rPr>
          <w:rFonts w:hint="default" w:eastAsia="仿宋_GB2312"/>
          <w:szCs w:val="32"/>
          <w:lang w:val="en-US" w:eastAsia="zh-CN"/>
        </w:rPr>
      </w:pPr>
      <w:r>
        <w:rPr>
          <w:rFonts w:hint="eastAsia"/>
          <w:szCs w:val="32"/>
        </w:rPr>
        <w:t>典型案例3</w:t>
      </w:r>
      <w:r>
        <w:rPr>
          <w:szCs w:val="32"/>
        </w:rPr>
        <w:t>-</w:t>
      </w:r>
      <w:r>
        <w:rPr>
          <w:rFonts w:hint="eastAsia"/>
          <w:szCs w:val="32"/>
        </w:rPr>
        <w:t>1</w:t>
      </w:r>
      <w:r>
        <w:rPr>
          <w:szCs w:val="32"/>
        </w:rPr>
        <w:t xml:space="preserve"> </w:t>
      </w:r>
      <w:r>
        <w:rPr>
          <w:rFonts w:hint="eastAsia"/>
          <w:szCs w:val="32"/>
        </w:rPr>
        <w:t>艺心向党绘丹青 沂蒙画卷展华章</w:t>
      </w:r>
      <w:r>
        <w:rPr>
          <w:szCs w:val="32"/>
        </w:rPr>
        <w:tab/>
      </w:r>
      <w:r>
        <w:rPr>
          <w:rFonts w:hint="eastAsia"/>
          <w:szCs w:val="32"/>
          <w:lang w:val="en-US" w:eastAsia="zh-CN"/>
        </w:rPr>
        <w:t>15</w:t>
      </w:r>
    </w:p>
    <w:p w14:paraId="37BFE992">
      <w:pPr>
        <w:tabs>
          <w:tab w:val="right" w:leader="dot" w:pos="7980"/>
        </w:tabs>
        <w:rPr>
          <w:rFonts w:hint="eastAsia" w:eastAsia="仿宋_GB2312"/>
          <w:szCs w:val="32"/>
          <w:lang w:eastAsia="zh-CN"/>
        </w:rPr>
      </w:pPr>
      <w:r>
        <w:rPr>
          <w:rFonts w:hint="eastAsia"/>
          <w:szCs w:val="32"/>
        </w:rPr>
        <w:t>典型案例4</w:t>
      </w:r>
      <w:r>
        <w:rPr>
          <w:szCs w:val="32"/>
        </w:rPr>
        <w:t>-</w:t>
      </w:r>
      <w:r>
        <w:rPr>
          <w:rFonts w:hint="eastAsia"/>
          <w:szCs w:val="32"/>
        </w:rPr>
        <w:t>1</w:t>
      </w:r>
      <w:r>
        <w:rPr>
          <w:szCs w:val="32"/>
        </w:rPr>
        <w:t xml:space="preserve"> </w:t>
      </w:r>
      <w:r>
        <w:rPr>
          <w:rFonts w:hint="eastAsia"/>
          <w:szCs w:val="32"/>
        </w:rPr>
        <w:t>走进云蒙实验小学开展美育共建活动</w:t>
      </w:r>
      <w:r>
        <w:rPr>
          <w:szCs w:val="32"/>
        </w:rPr>
        <w:tab/>
      </w:r>
      <w:r>
        <w:rPr>
          <w:rFonts w:hint="eastAsia"/>
          <w:szCs w:val="32"/>
        </w:rPr>
        <w:t>1</w:t>
      </w:r>
      <w:r>
        <w:rPr>
          <w:rFonts w:hint="eastAsia"/>
          <w:szCs w:val="32"/>
          <w:lang w:val="en-US" w:eastAsia="zh-CN"/>
        </w:rPr>
        <w:t>8</w:t>
      </w:r>
    </w:p>
    <w:p w14:paraId="587057EF">
      <w:pPr>
        <w:tabs>
          <w:tab w:val="right" w:leader="dot" w:pos="7980"/>
        </w:tabs>
        <w:rPr>
          <w:rFonts w:hint="default" w:eastAsia="仿宋_GB2312"/>
          <w:szCs w:val="32"/>
          <w:lang w:val="en-US" w:eastAsia="zh-CN"/>
        </w:rPr>
      </w:pPr>
      <w:r>
        <w:rPr>
          <w:rFonts w:hint="eastAsia"/>
          <w:szCs w:val="32"/>
        </w:rPr>
        <w:t>典型案例4</w:t>
      </w:r>
      <w:r>
        <w:rPr>
          <w:szCs w:val="32"/>
        </w:rPr>
        <w:t>-</w:t>
      </w:r>
      <w:r>
        <w:rPr>
          <w:rFonts w:hint="eastAsia"/>
          <w:szCs w:val="32"/>
        </w:rPr>
        <w:t>2</w:t>
      </w:r>
      <w:r>
        <w:rPr>
          <w:szCs w:val="32"/>
        </w:rPr>
        <w:t xml:space="preserve"> </w:t>
      </w:r>
      <w:r>
        <w:rPr>
          <w:rFonts w:hint="eastAsia"/>
          <w:szCs w:val="32"/>
        </w:rPr>
        <w:t>歌剧《沂蒙山》精选唱段进社区活动</w:t>
      </w:r>
      <w:r>
        <w:rPr>
          <w:szCs w:val="32"/>
        </w:rPr>
        <w:tab/>
      </w:r>
      <w:r>
        <w:rPr>
          <w:rFonts w:hint="eastAsia"/>
          <w:szCs w:val="32"/>
          <w:lang w:val="en-US" w:eastAsia="zh-CN"/>
        </w:rPr>
        <w:t>19</w:t>
      </w:r>
    </w:p>
    <w:p w14:paraId="01901921">
      <w:pPr>
        <w:tabs>
          <w:tab w:val="right" w:leader="dot" w:pos="7980"/>
        </w:tabs>
        <w:rPr>
          <w:rFonts w:hint="eastAsia" w:eastAsia="仿宋_GB2312"/>
          <w:szCs w:val="32"/>
          <w:lang w:eastAsia="zh-CN"/>
        </w:rPr>
      </w:pPr>
      <w:r>
        <w:rPr>
          <w:rFonts w:hint="eastAsia"/>
          <w:szCs w:val="32"/>
        </w:rPr>
        <w:t>典型案例5</w:t>
      </w:r>
      <w:r>
        <w:rPr>
          <w:szCs w:val="32"/>
        </w:rPr>
        <w:t>-</w:t>
      </w:r>
      <w:r>
        <w:rPr>
          <w:rFonts w:hint="eastAsia"/>
          <w:szCs w:val="32"/>
        </w:rPr>
        <w:t>1</w:t>
      </w:r>
      <w:r>
        <w:rPr>
          <w:szCs w:val="32"/>
        </w:rPr>
        <w:t xml:space="preserve"> </w:t>
      </w:r>
      <w:r>
        <w:rPr>
          <w:rFonts w:hint="eastAsia"/>
          <w:szCs w:val="32"/>
        </w:rPr>
        <w:t>“我为英雄描碑文”爱国主义教育活动</w:t>
      </w:r>
      <w:r>
        <w:rPr>
          <w:szCs w:val="32"/>
        </w:rPr>
        <w:tab/>
      </w:r>
      <w:r>
        <w:rPr>
          <w:szCs w:val="32"/>
        </w:rPr>
        <w:t>2</w:t>
      </w:r>
      <w:r>
        <w:rPr>
          <w:rFonts w:hint="eastAsia"/>
          <w:szCs w:val="32"/>
          <w:lang w:val="en-US" w:eastAsia="zh-CN"/>
        </w:rPr>
        <w:t>3</w:t>
      </w:r>
    </w:p>
    <w:p w14:paraId="50ACEF47">
      <w:pPr>
        <w:tabs>
          <w:tab w:val="right" w:leader="dot" w:pos="7980"/>
        </w:tabs>
        <w:rPr>
          <w:rFonts w:hint="eastAsia" w:eastAsia="仿宋_GB2312"/>
          <w:szCs w:val="32"/>
          <w:lang w:eastAsia="zh-CN"/>
        </w:rPr>
      </w:pPr>
      <w:r>
        <w:rPr>
          <w:rFonts w:hint="eastAsia"/>
          <w:szCs w:val="32"/>
        </w:rPr>
        <w:t>典型案例5</w:t>
      </w:r>
      <w:r>
        <w:rPr>
          <w:szCs w:val="32"/>
        </w:rPr>
        <w:t>-</w:t>
      </w:r>
      <w:r>
        <w:rPr>
          <w:rFonts w:hint="eastAsia"/>
          <w:szCs w:val="32"/>
        </w:rPr>
        <w:t>2</w:t>
      </w:r>
      <w:r>
        <w:rPr>
          <w:szCs w:val="32"/>
        </w:rPr>
        <w:t xml:space="preserve"> </w:t>
      </w:r>
      <w:r>
        <w:rPr>
          <w:rFonts w:hint="eastAsia"/>
          <w:szCs w:val="32"/>
        </w:rPr>
        <w:t>苗氏剪纸传承人来校指导教学工作</w:t>
      </w:r>
      <w:r>
        <w:rPr>
          <w:szCs w:val="32"/>
        </w:rPr>
        <w:tab/>
      </w:r>
      <w:r>
        <w:rPr>
          <w:szCs w:val="32"/>
        </w:rPr>
        <w:t>2</w:t>
      </w:r>
      <w:r>
        <w:rPr>
          <w:rFonts w:hint="eastAsia"/>
          <w:szCs w:val="32"/>
          <w:lang w:val="en-US" w:eastAsia="zh-CN"/>
        </w:rPr>
        <w:t>4</w:t>
      </w:r>
    </w:p>
    <w:p w14:paraId="43B9E0F5">
      <w:pPr>
        <w:tabs>
          <w:tab w:val="right" w:leader="dot" w:pos="7980"/>
        </w:tabs>
        <w:rPr>
          <w:rFonts w:hint="default" w:eastAsia="仿宋_GB2312"/>
          <w:szCs w:val="32"/>
          <w:lang w:val="en-US" w:eastAsia="zh-CN"/>
        </w:rPr>
      </w:pPr>
      <w:r>
        <w:rPr>
          <w:rFonts w:hint="eastAsia"/>
          <w:szCs w:val="32"/>
        </w:rPr>
        <w:t>典型案例7-1</w:t>
      </w:r>
      <w:r>
        <w:rPr>
          <w:szCs w:val="32"/>
        </w:rPr>
        <w:t xml:space="preserve"> </w:t>
      </w:r>
      <w:r>
        <w:rPr>
          <w:rFonts w:hint="eastAsia"/>
          <w:szCs w:val="32"/>
        </w:rPr>
        <w:t>到卞成飞非遗手绣展馆参观交流</w:t>
      </w:r>
      <w:r>
        <w:rPr>
          <w:szCs w:val="32"/>
        </w:rPr>
        <w:tab/>
      </w:r>
      <w:r>
        <w:rPr>
          <w:rFonts w:hint="eastAsia"/>
          <w:szCs w:val="32"/>
          <w:lang w:val="en-US" w:eastAsia="zh-CN"/>
        </w:rPr>
        <w:t>29</w:t>
      </w:r>
    </w:p>
    <w:p w14:paraId="4CF7EE4B">
      <w:pPr>
        <w:tabs>
          <w:tab w:val="right" w:leader="dot" w:pos="7980"/>
        </w:tabs>
        <w:rPr>
          <w:rFonts w:hint="default" w:eastAsia="仿宋_GB2312"/>
          <w:szCs w:val="32"/>
          <w:lang w:val="en-US" w:eastAsia="zh-CN"/>
        </w:rPr>
      </w:pPr>
      <w:r>
        <w:rPr>
          <w:rFonts w:hint="eastAsia"/>
          <w:szCs w:val="32"/>
        </w:rPr>
        <w:t>典型案例7</w:t>
      </w:r>
      <w:r>
        <w:rPr>
          <w:szCs w:val="32"/>
        </w:rPr>
        <w:t>-</w:t>
      </w:r>
      <w:r>
        <w:rPr>
          <w:rFonts w:hint="eastAsia"/>
          <w:szCs w:val="32"/>
        </w:rPr>
        <w:t>2</w:t>
      </w:r>
      <w:r>
        <w:rPr>
          <w:szCs w:val="32"/>
        </w:rPr>
        <w:t xml:space="preserve"> </w:t>
      </w:r>
      <w:r>
        <w:rPr>
          <w:rFonts w:hint="eastAsia"/>
          <w:szCs w:val="32"/>
        </w:rPr>
        <w:t>举办临沂市文旅行业校企合作对话会</w:t>
      </w:r>
      <w:r>
        <w:rPr>
          <w:szCs w:val="32"/>
        </w:rPr>
        <w:tab/>
      </w:r>
      <w:r>
        <w:rPr>
          <w:rFonts w:hint="eastAsia"/>
          <w:szCs w:val="32"/>
          <w:lang w:val="en-US" w:eastAsia="zh-CN"/>
        </w:rPr>
        <w:t>30</w:t>
      </w:r>
    </w:p>
    <w:p w14:paraId="5E7DA489">
      <w:pPr>
        <w:rPr>
          <w:rFonts w:hint="eastAsia"/>
        </w:rPr>
      </w:pPr>
    </w:p>
    <w:p w14:paraId="151E0E30">
      <w:pPr>
        <w:rPr>
          <w:rFonts w:hint="eastAsia" w:ascii="方正小标宋简体" w:hAnsi="方正公文小标宋" w:eastAsia="方正小标宋简体" w:cs="方正公文小标宋"/>
          <w:sz w:val="44"/>
          <w:szCs w:val="44"/>
        </w:rPr>
        <w:sectPr>
          <w:pgSz w:w="11906" w:h="16838"/>
          <w:pgMar w:top="1701" w:right="1588" w:bottom="1588" w:left="1588" w:header="851" w:footer="992" w:gutter="0"/>
          <w:pgNumType w:start="0"/>
          <w:cols w:space="425" w:num="1"/>
          <w:titlePg/>
          <w:docGrid w:type="lines" w:linePitch="435" w:charSpace="0"/>
        </w:sectPr>
      </w:pPr>
    </w:p>
    <w:p w14:paraId="3D1308ED">
      <w:pPr>
        <w:spacing w:line="240" w:lineRule="auto"/>
        <w:rPr>
          <w:rFonts w:hint="eastAsia" w:ascii="仿宋" w:hAnsi="仿宋" w:eastAsia="仿宋" w:cs="Times New Roman"/>
          <w:sz w:val="28"/>
          <w:szCs w:val="22"/>
        </w:rPr>
      </w:pPr>
      <w:bookmarkStart w:id="0" w:name="_Hlk122093039"/>
    </w:p>
    <w:bookmarkEnd w:id="0"/>
    <w:p w14:paraId="1E4A3C80">
      <w:pPr>
        <w:jc w:val="center"/>
        <w:rPr>
          <w:rFonts w:hint="eastAsia" w:ascii="方正小标宋简体" w:hAnsi="方正小标宋简体" w:eastAsia="方正小标宋简体" w:cs="方正小标宋简体"/>
          <w:sz w:val="44"/>
          <w:szCs w:val="52"/>
        </w:rPr>
      </w:pPr>
      <w:r>
        <w:rPr>
          <w:rFonts w:hint="eastAsia" w:ascii="方正小标宋简体" w:hAnsi="方正小标宋简体" w:eastAsia="方正小标宋简体" w:cs="方正小标宋简体"/>
          <w:sz w:val="44"/>
          <w:szCs w:val="52"/>
        </w:rPr>
        <w:t>临沂艺术学校2</w:t>
      </w:r>
      <w:r>
        <w:rPr>
          <w:rFonts w:ascii="方正小标宋简体" w:hAnsi="方正小标宋简体" w:eastAsia="方正小标宋简体" w:cs="方正小标宋简体"/>
          <w:sz w:val="44"/>
          <w:szCs w:val="52"/>
        </w:rPr>
        <w:t>02</w:t>
      </w:r>
      <w:r>
        <w:rPr>
          <w:rFonts w:hint="eastAsia" w:ascii="方正小标宋简体" w:hAnsi="方正小标宋简体" w:eastAsia="方正小标宋简体" w:cs="方正小标宋简体"/>
          <w:sz w:val="44"/>
          <w:szCs w:val="52"/>
          <w:lang w:val="en-US" w:eastAsia="zh-CN"/>
        </w:rPr>
        <w:t>5</w:t>
      </w:r>
      <w:r>
        <w:rPr>
          <w:rFonts w:hint="eastAsia" w:ascii="方正小标宋简体" w:hAnsi="方正小标宋简体" w:eastAsia="方正小标宋简体" w:cs="方正小标宋简体"/>
          <w:sz w:val="44"/>
          <w:szCs w:val="52"/>
        </w:rPr>
        <w:t>年度教育质量报告</w:t>
      </w:r>
    </w:p>
    <w:p w14:paraId="20FFAA28">
      <w:pPr>
        <w:rPr>
          <w:rFonts w:hint="eastAsia"/>
        </w:rPr>
      </w:pPr>
    </w:p>
    <w:p w14:paraId="0B2F8817">
      <w:pPr>
        <w:pStyle w:val="2"/>
        <w:numPr>
          <w:ilvl w:val="0"/>
          <w:numId w:val="1"/>
        </w:numPr>
        <w:ind w:leftChars="0"/>
        <w:rPr>
          <w:rFonts w:hint="eastAsia"/>
        </w:rPr>
      </w:pPr>
      <w:bookmarkStart w:id="1" w:name="_Toc187608093"/>
      <w:r>
        <w:rPr>
          <w:rFonts w:hint="eastAsia"/>
        </w:rPr>
        <w:t>基本情况</w:t>
      </w:r>
      <w:bookmarkEnd w:id="1"/>
    </w:p>
    <w:p w14:paraId="39849FBD">
      <w:pPr>
        <w:ind w:firstLine="640" w:firstLineChars="200"/>
        <w:rPr>
          <w:rFonts w:hint="eastAsia"/>
        </w:rPr>
      </w:pPr>
      <w:r>
        <w:rPr>
          <w:rFonts w:hint="eastAsia"/>
        </w:rPr>
        <w:t>202</w:t>
      </w:r>
      <w:r>
        <w:rPr>
          <w:rFonts w:hint="eastAsia"/>
          <w:lang w:val="en-US" w:eastAsia="zh-CN"/>
        </w:rPr>
        <w:t>4</w:t>
      </w:r>
      <w:r>
        <w:rPr>
          <w:rFonts w:hint="eastAsia"/>
        </w:rPr>
        <w:t>-202</w:t>
      </w:r>
      <w:r>
        <w:rPr>
          <w:rFonts w:hint="eastAsia"/>
          <w:lang w:val="en-US" w:eastAsia="zh-CN"/>
        </w:rPr>
        <w:t>5</w:t>
      </w:r>
      <w:r>
        <w:rPr>
          <w:rFonts w:hint="eastAsia"/>
        </w:rPr>
        <w:t>学年，临沂艺术学校</w:t>
      </w:r>
      <w:r>
        <w:rPr>
          <w:rFonts w:hint="eastAsia" w:hAnsi="Helvetica"/>
          <w:szCs w:val="32"/>
        </w:rPr>
        <w:t>坚持以习近平新时代中国特色社会主义思想为指导，深入贯彻党的二十大和二十届二中、三中全会精神，牢牢把握</w:t>
      </w:r>
      <w:r>
        <w:rPr>
          <w:rFonts w:hint="eastAsia" w:ascii="仿宋" w:hAnsi="仿宋" w:eastAsia="仿宋" w:cs="仿宋"/>
          <w:szCs w:val="32"/>
        </w:rPr>
        <w:t>立德树人根本任务</w:t>
      </w:r>
      <w:r>
        <w:rPr>
          <w:rFonts w:hint="eastAsia" w:hAnsi="Helvetica"/>
          <w:szCs w:val="32"/>
        </w:rPr>
        <w:t>，守正创新，踔厉奋发，在</w:t>
      </w:r>
      <w:r>
        <w:rPr>
          <w:rFonts w:hint="eastAsia"/>
        </w:rPr>
        <w:t>人才培养质量、教育综合改革、党建引领、办学条件设施等多方面</w:t>
      </w:r>
      <w:r>
        <w:rPr>
          <w:rFonts w:hint="eastAsia" w:hAnsi="Helvetica"/>
          <w:szCs w:val="32"/>
        </w:rPr>
        <w:t>实现了新进展、开创了新局面。</w:t>
      </w:r>
    </w:p>
    <w:p w14:paraId="2FF0F725">
      <w:pPr>
        <w:pStyle w:val="3"/>
        <w:ind w:left="640"/>
        <w:rPr>
          <w:rFonts w:hint="eastAsia"/>
        </w:rPr>
      </w:pPr>
      <w:bookmarkStart w:id="2" w:name="_Toc187608094"/>
      <w:r>
        <w:rPr>
          <w:rFonts w:hint="eastAsia"/>
        </w:rPr>
        <w:t>1.1规模结构</w:t>
      </w:r>
      <w:bookmarkEnd w:id="2"/>
    </w:p>
    <w:p w14:paraId="4A4605FB">
      <w:pPr>
        <w:widowControl/>
        <w:ind w:firstLine="640" w:firstLineChars="200"/>
        <w:rPr>
          <w:rFonts w:hint="eastAsia" w:hAnsi="仿宋_GB2312" w:cs="仿宋_GB2312"/>
          <w:szCs w:val="32"/>
        </w:rPr>
      </w:pPr>
      <w:r>
        <w:rPr>
          <w:rFonts w:hint="eastAsia" w:hAnsi="仿宋_GB2312" w:cs="仿宋_GB2312"/>
          <w:szCs w:val="32"/>
        </w:rPr>
        <w:t>临沂艺术学校创建于1976年，隶属于临沂市教育局管理，从最早的文艺班发展成现在的国家级重点中等艺术学校、省级规范化学校。学校现开设三二连读专科、夏季高考、春季高考三个办学层次，设置舞蹈表演、音乐表演、绘画、播音与主持、幼儿保育、旅游服务与管理、数字影像技术、艺术设计与制作、文物保护技术、直播电商服务、戏曲表演等11个专业方向（详见表1-1）。与临沂职业学院</w:t>
      </w:r>
      <w:r>
        <w:rPr>
          <w:rFonts w:hint="eastAsia" w:hAnsi="仿宋_GB2312" w:cs="仿宋_GB2312"/>
          <w:szCs w:val="32"/>
          <w:lang w:eastAsia="zh-CN"/>
        </w:rPr>
        <w:t>、山东省文化艺术职业学院</w:t>
      </w:r>
      <w:r>
        <w:rPr>
          <w:rFonts w:hint="eastAsia" w:hAnsi="仿宋_GB2312" w:cs="仿宋_GB2312"/>
          <w:szCs w:val="32"/>
        </w:rPr>
        <w:t>联合办学开办3+2大专班，与韩国水原大学、马来西亚苏丹伊德里斯教育大学等高校签订战略合作协议</w:t>
      </w:r>
      <w:bookmarkStart w:id="42" w:name="_GoBack"/>
      <w:bookmarkEnd w:id="42"/>
      <w:r>
        <w:rPr>
          <w:rFonts w:hint="eastAsia" w:hAnsi="仿宋_GB2312" w:cs="仿宋_GB2312"/>
          <w:szCs w:val="32"/>
        </w:rPr>
        <w:t>。</w:t>
      </w:r>
    </w:p>
    <w:p w14:paraId="7B604938">
      <w:pPr>
        <w:widowControl/>
        <w:jc w:val="center"/>
        <w:rPr>
          <w:rFonts w:hint="eastAsia" w:hAnsi="仿宋_GB2312" w:cs="仿宋_GB2312"/>
          <w:b/>
          <w:bCs/>
          <w:sz w:val="24"/>
        </w:rPr>
      </w:pPr>
      <w:r>
        <w:rPr>
          <w:rFonts w:hint="eastAsia" w:hAnsi="仿宋_GB2312" w:cs="仿宋_GB2312"/>
          <w:b/>
          <w:bCs/>
          <w:sz w:val="24"/>
        </w:rPr>
        <w:t>表1-1  临沂艺术学校专业设置一览表</w:t>
      </w:r>
    </w:p>
    <w:tbl>
      <w:tblPr>
        <w:tblStyle w:val="35"/>
        <w:tblW w:w="0" w:type="auto"/>
        <w:tblInd w:w="0" w:type="dxa"/>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Layout w:type="autofit"/>
        <w:tblCellMar>
          <w:top w:w="0" w:type="dxa"/>
          <w:left w:w="108" w:type="dxa"/>
          <w:bottom w:w="0" w:type="dxa"/>
          <w:right w:w="108" w:type="dxa"/>
        </w:tblCellMar>
      </w:tblPr>
      <w:tblGrid>
        <w:gridCol w:w="1413"/>
        <w:gridCol w:w="6379"/>
        <w:gridCol w:w="928"/>
      </w:tblGrid>
      <w:tr w14:paraId="7143CF47">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rPr>
          <w:tblHeader/>
        </w:trPr>
        <w:tc>
          <w:tcPr>
            <w:tcW w:w="1413" w:type="dxa"/>
            <w:tcBorders>
              <w:top w:val="single" w:color="5B9BD5" w:themeColor="accent5" w:sz="4" w:space="0"/>
              <w:left w:val="single" w:color="5B9BD5" w:themeColor="accent5" w:sz="4" w:space="0"/>
              <w:bottom w:val="single" w:color="5B9BD5" w:themeColor="accent5" w:sz="4" w:space="0"/>
              <w:right w:val="nil"/>
              <w:insideH w:val="single" w:sz="4" w:space="0"/>
              <w:insideV w:val="nil"/>
            </w:tcBorders>
            <w:shd w:val="clear" w:color="auto" w:fill="5B9BD5" w:themeFill="accent5"/>
          </w:tcPr>
          <w:p w14:paraId="37E5DDC8">
            <w:pPr>
              <w:widowControl/>
              <w:jc w:val="center"/>
              <w:rPr>
                <w:rFonts w:hint="eastAsia" w:hAnsi="仿宋_GB2312" w:cs="仿宋_GB2312"/>
                <w:b w:val="0"/>
                <w:bCs w:val="0"/>
                <w:color w:val="FFFFFF" w:themeColor="background1"/>
                <w:sz w:val="24"/>
                <w14:textFill>
                  <w14:solidFill>
                    <w14:schemeClr w14:val="bg1"/>
                  </w14:solidFill>
                </w14:textFill>
              </w:rPr>
            </w:pPr>
            <w:r>
              <w:rPr>
                <w:rFonts w:hint="eastAsia" w:hAnsi="仿宋_GB2312" w:cs="仿宋_GB2312"/>
                <w:b/>
                <w:bCs/>
                <w:color w:val="FFFFFF" w:themeColor="background1"/>
                <w:sz w:val="24"/>
                <w14:textFill>
                  <w14:solidFill>
                    <w14:schemeClr w14:val="bg1"/>
                  </w14:solidFill>
                </w14:textFill>
              </w:rPr>
              <w:t>办学层次</w:t>
            </w:r>
          </w:p>
        </w:tc>
        <w:tc>
          <w:tcPr>
            <w:tcW w:w="6379" w:type="dxa"/>
            <w:tcBorders>
              <w:top w:val="single" w:color="5B9BD5" w:themeColor="accent5" w:sz="4" w:space="0"/>
              <w:bottom w:val="single" w:color="5B9BD5" w:themeColor="accent5" w:sz="4" w:space="0"/>
              <w:right w:val="nil"/>
              <w:insideH w:val="single" w:sz="4" w:space="0"/>
              <w:insideV w:val="nil"/>
            </w:tcBorders>
            <w:shd w:val="clear" w:color="auto" w:fill="5B9BD5" w:themeFill="accent5"/>
          </w:tcPr>
          <w:p w14:paraId="087A25FD">
            <w:pPr>
              <w:widowControl/>
              <w:jc w:val="center"/>
              <w:rPr>
                <w:rFonts w:hint="eastAsia" w:hAnsi="仿宋_GB2312" w:cs="仿宋_GB2312"/>
                <w:b w:val="0"/>
                <w:bCs w:val="0"/>
                <w:color w:val="FFFFFF" w:themeColor="background1"/>
                <w:sz w:val="24"/>
                <w14:textFill>
                  <w14:solidFill>
                    <w14:schemeClr w14:val="bg1"/>
                  </w14:solidFill>
                </w14:textFill>
              </w:rPr>
            </w:pPr>
            <w:r>
              <w:rPr>
                <w:rFonts w:hint="eastAsia" w:hAnsi="仿宋_GB2312" w:cs="仿宋_GB2312"/>
                <w:b/>
                <w:bCs/>
                <w:color w:val="FFFFFF" w:themeColor="background1"/>
                <w:sz w:val="24"/>
                <w14:textFill>
                  <w14:solidFill>
                    <w14:schemeClr w14:val="bg1"/>
                  </w14:solidFill>
                </w14:textFill>
              </w:rPr>
              <w:t>专业名称</w:t>
            </w:r>
          </w:p>
        </w:tc>
        <w:tc>
          <w:tcPr>
            <w:tcW w:w="928" w:type="dxa"/>
            <w:tcBorders>
              <w:top w:val="single" w:color="5B9BD5" w:themeColor="accent5" w:sz="4" w:space="0"/>
              <w:bottom w:val="single" w:color="5B9BD5" w:themeColor="accent5" w:sz="4" w:space="0"/>
              <w:right w:val="single" w:color="5B9BD5" w:themeColor="accent5" w:sz="4" w:space="0"/>
              <w:insideH w:val="single" w:sz="4" w:space="0"/>
              <w:insideV w:val="nil"/>
            </w:tcBorders>
            <w:shd w:val="clear" w:color="auto" w:fill="5B9BD5" w:themeFill="accent5"/>
          </w:tcPr>
          <w:p w14:paraId="511016B4">
            <w:pPr>
              <w:widowControl/>
              <w:jc w:val="center"/>
              <w:rPr>
                <w:rFonts w:hint="eastAsia" w:hAnsi="仿宋_GB2312" w:cs="仿宋_GB2312"/>
                <w:b w:val="0"/>
                <w:bCs w:val="0"/>
                <w:color w:val="FFFFFF" w:themeColor="background1"/>
                <w:sz w:val="24"/>
                <w14:textFill>
                  <w14:solidFill>
                    <w14:schemeClr w14:val="bg1"/>
                  </w14:solidFill>
                </w14:textFill>
              </w:rPr>
            </w:pPr>
            <w:r>
              <w:rPr>
                <w:rFonts w:hint="eastAsia" w:hAnsi="仿宋_GB2312" w:cs="仿宋_GB2312"/>
                <w:b/>
                <w:bCs/>
                <w:color w:val="FFFFFF" w:themeColor="background1"/>
                <w:sz w:val="24"/>
                <w14:textFill>
                  <w14:solidFill>
                    <w14:schemeClr w14:val="bg1"/>
                  </w14:solidFill>
                </w14:textFill>
              </w:rPr>
              <w:t>学制</w:t>
            </w:r>
          </w:p>
        </w:tc>
      </w:tr>
      <w:tr w14:paraId="026AFD47">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1413" w:type="dxa"/>
            <w:vMerge w:val="restart"/>
            <w:vAlign w:val="center"/>
          </w:tcPr>
          <w:p w14:paraId="5173D978">
            <w:pPr>
              <w:widowControl/>
              <w:jc w:val="center"/>
              <w:rPr>
                <w:rFonts w:hint="eastAsia" w:hAnsi="仿宋_GB2312" w:cs="仿宋_GB2312"/>
                <w:b w:val="0"/>
                <w:bCs w:val="0"/>
                <w:sz w:val="24"/>
              </w:rPr>
            </w:pPr>
            <w:r>
              <w:rPr>
                <w:rFonts w:hint="eastAsia" w:hAnsi="仿宋_GB2312" w:cs="仿宋_GB2312"/>
                <w:b/>
                <w:bCs/>
                <w:sz w:val="24"/>
              </w:rPr>
              <w:t>三二连读</w:t>
            </w:r>
          </w:p>
        </w:tc>
        <w:tc>
          <w:tcPr>
            <w:tcW w:w="6379" w:type="dxa"/>
            <w:shd w:val="clear" w:color="auto" w:fill="DEEAF6" w:themeFill="accent5" w:themeFillTint="33"/>
          </w:tcPr>
          <w:p w14:paraId="646AA20A">
            <w:pPr>
              <w:widowControl/>
              <w:jc w:val="center"/>
              <w:rPr>
                <w:rFonts w:hint="eastAsia" w:hAnsi="仿宋_GB2312" w:cs="仿宋_GB2312"/>
                <w:sz w:val="24"/>
              </w:rPr>
            </w:pPr>
            <w:r>
              <w:rPr>
                <w:rFonts w:hint="eastAsia" w:hAnsi="仿宋_GB2312" w:cs="仿宋_GB2312"/>
                <w:sz w:val="24"/>
              </w:rPr>
              <w:t>舞蹈表演</w:t>
            </w:r>
          </w:p>
        </w:tc>
        <w:tc>
          <w:tcPr>
            <w:tcW w:w="928" w:type="dxa"/>
          </w:tcPr>
          <w:p w14:paraId="69D7447A">
            <w:pPr>
              <w:widowControl/>
              <w:jc w:val="center"/>
              <w:rPr>
                <w:rFonts w:hint="eastAsia" w:hAnsi="仿宋_GB2312" w:cs="仿宋_GB2312"/>
                <w:sz w:val="24"/>
              </w:rPr>
            </w:pPr>
            <w:r>
              <w:rPr>
                <w:rFonts w:hint="eastAsia" w:hAnsi="仿宋_GB2312" w:cs="仿宋_GB2312"/>
                <w:sz w:val="24"/>
              </w:rPr>
              <w:t>3</w:t>
            </w:r>
          </w:p>
        </w:tc>
      </w:tr>
      <w:tr w14:paraId="4EC14415">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1413" w:type="dxa"/>
            <w:vMerge w:val="continue"/>
          </w:tcPr>
          <w:p w14:paraId="5D83310F">
            <w:pPr>
              <w:widowControl/>
              <w:jc w:val="center"/>
              <w:rPr>
                <w:rFonts w:hint="eastAsia" w:hAnsi="仿宋_GB2312" w:cs="仿宋_GB2312"/>
                <w:b w:val="0"/>
                <w:bCs w:val="0"/>
                <w:sz w:val="24"/>
              </w:rPr>
            </w:pPr>
          </w:p>
        </w:tc>
        <w:tc>
          <w:tcPr>
            <w:tcW w:w="6379" w:type="dxa"/>
            <w:shd w:val="clear" w:color="auto" w:fill="DEEAF6" w:themeFill="accent5" w:themeFillTint="33"/>
          </w:tcPr>
          <w:p w14:paraId="0CFDE2FF">
            <w:pPr>
              <w:widowControl/>
              <w:jc w:val="center"/>
              <w:rPr>
                <w:rFonts w:hint="eastAsia" w:hAnsi="仿宋_GB2312" w:cs="仿宋_GB2312"/>
                <w:sz w:val="24"/>
              </w:rPr>
            </w:pPr>
            <w:r>
              <w:rPr>
                <w:rFonts w:hint="eastAsia" w:hAnsi="仿宋_GB2312" w:cs="仿宋_GB2312"/>
                <w:sz w:val="24"/>
              </w:rPr>
              <w:t>音乐表演</w:t>
            </w:r>
          </w:p>
        </w:tc>
        <w:tc>
          <w:tcPr>
            <w:tcW w:w="928" w:type="dxa"/>
          </w:tcPr>
          <w:p w14:paraId="02FA1341">
            <w:pPr>
              <w:widowControl/>
              <w:jc w:val="center"/>
              <w:rPr>
                <w:rFonts w:hint="eastAsia" w:hAnsi="仿宋_GB2312" w:cs="仿宋_GB2312"/>
                <w:sz w:val="24"/>
              </w:rPr>
            </w:pPr>
            <w:r>
              <w:rPr>
                <w:rFonts w:hint="eastAsia" w:hAnsi="仿宋_GB2312" w:cs="仿宋_GB2312"/>
                <w:sz w:val="24"/>
              </w:rPr>
              <w:t>3</w:t>
            </w:r>
          </w:p>
        </w:tc>
      </w:tr>
      <w:tr w14:paraId="41AED763">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1413" w:type="dxa"/>
            <w:vMerge w:val="continue"/>
          </w:tcPr>
          <w:p w14:paraId="675DBE8F">
            <w:pPr>
              <w:widowControl/>
              <w:jc w:val="center"/>
              <w:rPr>
                <w:rFonts w:hint="eastAsia" w:hAnsi="仿宋_GB2312" w:cs="仿宋_GB2312"/>
                <w:b w:val="0"/>
                <w:bCs w:val="0"/>
                <w:sz w:val="24"/>
              </w:rPr>
            </w:pPr>
          </w:p>
        </w:tc>
        <w:tc>
          <w:tcPr>
            <w:tcW w:w="6379" w:type="dxa"/>
            <w:shd w:val="clear" w:color="auto" w:fill="DEEAF6" w:themeFill="accent5" w:themeFillTint="33"/>
          </w:tcPr>
          <w:p w14:paraId="12645822">
            <w:pPr>
              <w:widowControl/>
              <w:jc w:val="center"/>
              <w:rPr>
                <w:rFonts w:hint="eastAsia" w:hAnsi="仿宋_GB2312" w:cs="仿宋_GB2312"/>
                <w:sz w:val="24"/>
              </w:rPr>
            </w:pPr>
            <w:r>
              <w:rPr>
                <w:rFonts w:hint="eastAsia" w:hAnsi="仿宋_GB2312" w:cs="仿宋_GB2312"/>
                <w:sz w:val="24"/>
              </w:rPr>
              <w:t>绘画（环境艺术设计）</w:t>
            </w:r>
          </w:p>
        </w:tc>
        <w:tc>
          <w:tcPr>
            <w:tcW w:w="928" w:type="dxa"/>
          </w:tcPr>
          <w:p w14:paraId="2E95BE36">
            <w:pPr>
              <w:widowControl/>
              <w:jc w:val="center"/>
              <w:rPr>
                <w:rFonts w:hint="eastAsia" w:hAnsi="仿宋_GB2312" w:cs="仿宋_GB2312"/>
                <w:sz w:val="24"/>
              </w:rPr>
            </w:pPr>
            <w:r>
              <w:rPr>
                <w:rFonts w:hint="eastAsia" w:hAnsi="仿宋_GB2312" w:cs="仿宋_GB2312"/>
                <w:sz w:val="24"/>
              </w:rPr>
              <w:t>3</w:t>
            </w:r>
          </w:p>
        </w:tc>
      </w:tr>
      <w:tr w14:paraId="31F73629">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1413" w:type="dxa"/>
            <w:vMerge w:val="continue"/>
          </w:tcPr>
          <w:p w14:paraId="6B89CC86">
            <w:pPr>
              <w:widowControl/>
              <w:jc w:val="center"/>
              <w:rPr>
                <w:rFonts w:hint="eastAsia" w:hAnsi="仿宋_GB2312" w:cs="仿宋_GB2312"/>
                <w:b w:val="0"/>
                <w:bCs w:val="0"/>
                <w:sz w:val="24"/>
              </w:rPr>
            </w:pPr>
          </w:p>
        </w:tc>
        <w:tc>
          <w:tcPr>
            <w:tcW w:w="6379" w:type="dxa"/>
            <w:shd w:val="clear" w:color="auto" w:fill="DEEAF6" w:themeFill="accent5" w:themeFillTint="33"/>
          </w:tcPr>
          <w:p w14:paraId="20782F89">
            <w:pPr>
              <w:widowControl/>
              <w:jc w:val="center"/>
              <w:rPr>
                <w:rFonts w:hint="eastAsia" w:hAnsi="仿宋_GB2312" w:cs="仿宋_GB2312"/>
                <w:sz w:val="24"/>
              </w:rPr>
            </w:pPr>
            <w:r>
              <w:rPr>
                <w:rFonts w:hint="eastAsia" w:hAnsi="仿宋_GB2312" w:cs="仿宋_GB2312"/>
                <w:sz w:val="24"/>
              </w:rPr>
              <w:t>播音与主持</w:t>
            </w:r>
          </w:p>
        </w:tc>
        <w:tc>
          <w:tcPr>
            <w:tcW w:w="928" w:type="dxa"/>
          </w:tcPr>
          <w:p w14:paraId="3DC4622D">
            <w:pPr>
              <w:widowControl/>
              <w:jc w:val="center"/>
              <w:rPr>
                <w:rFonts w:hint="eastAsia" w:hAnsi="仿宋_GB2312" w:cs="仿宋_GB2312"/>
                <w:sz w:val="24"/>
              </w:rPr>
            </w:pPr>
            <w:r>
              <w:rPr>
                <w:rFonts w:hint="eastAsia" w:hAnsi="仿宋_GB2312" w:cs="仿宋_GB2312"/>
                <w:sz w:val="24"/>
              </w:rPr>
              <w:t>3</w:t>
            </w:r>
          </w:p>
        </w:tc>
      </w:tr>
      <w:tr w14:paraId="4EB99A81">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1413" w:type="dxa"/>
            <w:vMerge w:val="continue"/>
          </w:tcPr>
          <w:p w14:paraId="751437DC">
            <w:pPr>
              <w:widowControl/>
              <w:jc w:val="center"/>
              <w:rPr>
                <w:rFonts w:hint="eastAsia" w:hAnsi="仿宋_GB2312" w:cs="仿宋_GB2312"/>
                <w:b w:val="0"/>
                <w:bCs w:val="0"/>
                <w:sz w:val="24"/>
              </w:rPr>
            </w:pPr>
          </w:p>
        </w:tc>
        <w:tc>
          <w:tcPr>
            <w:tcW w:w="6379" w:type="dxa"/>
            <w:shd w:val="clear" w:color="auto" w:fill="DEEAF6" w:themeFill="accent5" w:themeFillTint="33"/>
          </w:tcPr>
          <w:p w14:paraId="3B32399F">
            <w:pPr>
              <w:widowControl/>
              <w:jc w:val="center"/>
              <w:rPr>
                <w:rFonts w:hint="eastAsia" w:hAnsi="仿宋_GB2312" w:eastAsia="仿宋_GB2312" w:cs="仿宋_GB2312"/>
                <w:sz w:val="24"/>
                <w:lang w:eastAsia="zh-CN"/>
              </w:rPr>
            </w:pPr>
            <w:r>
              <w:rPr>
                <w:rFonts w:hint="eastAsia" w:hAnsi="仿宋_GB2312" w:cs="仿宋_GB2312"/>
                <w:sz w:val="24"/>
                <w:lang w:eastAsia="zh-CN"/>
              </w:rPr>
              <w:t>文物保护技术</w:t>
            </w:r>
          </w:p>
        </w:tc>
        <w:tc>
          <w:tcPr>
            <w:tcW w:w="928" w:type="dxa"/>
          </w:tcPr>
          <w:p w14:paraId="02691F34">
            <w:pPr>
              <w:widowControl/>
              <w:jc w:val="center"/>
              <w:rPr>
                <w:rFonts w:hint="eastAsia" w:hAnsi="仿宋_GB2312" w:eastAsia="仿宋_GB2312" w:cs="仿宋_GB2312"/>
                <w:sz w:val="24"/>
                <w:lang w:val="en-US" w:eastAsia="zh-CN"/>
              </w:rPr>
            </w:pPr>
            <w:r>
              <w:rPr>
                <w:rFonts w:hint="eastAsia" w:hAnsi="仿宋_GB2312" w:cs="仿宋_GB2312"/>
                <w:sz w:val="24"/>
                <w:lang w:val="en-US" w:eastAsia="zh-CN"/>
              </w:rPr>
              <w:t>3</w:t>
            </w:r>
          </w:p>
        </w:tc>
      </w:tr>
      <w:tr w14:paraId="1DA7EE30">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1413" w:type="dxa"/>
            <w:vMerge w:val="restart"/>
            <w:vAlign w:val="center"/>
          </w:tcPr>
          <w:p w14:paraId="73E58641">
            <w:pPr>
              <w:widowControl/>
              <w:jc w:val="center"/>
              <w:rPr>
                <w:rFonts w:hint="eastAsia" w:hAnsi="仿宋_GB2312" w:cs="仿宋_GB2312"/>
                <w:b w:val="0"/>
                <w:bCs w:val="0"/>
                <w:sz w:val="24"/>
              </w:rPr>
            </w:pPr>
            <w:r>
              <w:rPr>
                <w:rFonts w:hint="eastAsia" w:hAnsi="仿宋_GB2312" w:cs="仿宋_GB2312"/>
                <w:b/>
                <w:bCs/>
                <w:sz w:val="24"/>
              </w:rPr>
              <w:t>夏季高考</w:t>
            </w:r>
          </w:p>
        </w:tc>
        <w:tc>
          <w:tcPr>
            <w:tcW w:w="6379" w:type="dxa"/>
            <w:shd w:val="clear" w:color="auto" w:fill="DEEAF6" w:themeFill="accent5" w:themeFillTint="33"/>
          </w:tcPr>
          <w:p w14:paraId="475C50C4">
            <w:pPr>
              <w:widowControl/>
              <w:jc w:val="center"/>
              <w:rPr>
                <w:rFonts w:hint="eastAsia" w:hAnsi="仿宋_GB2312" w:cs="仿宋_GB2312"/>
                <w:sz w:val="24"/>
              </w:rPr>
            </w:pPr>
            <w:r>
              <w:rPr>
                <w:rFonts w:hint="eastAsia" w:hAnsi="仿宋_GB2312" w:cs="仿宋_GB2312"/>
                <w:sz w:val="24"/>
              </w:rPr>
              <w:t>舞蹈表演</w:t>
            </w:r>
          </w:p>
        </w:tc>
        <w:tc>
          <w:tcPr>
            <w:tcW w:w="928" w:type="dxa"/>
          </w:tcPr>
          <w:p w14:paraId="3B93516F">
            <w:pPr>
              <w:widowControl/>
              <w:jc w:val="center"/>
              <w:rPr>
                <w:rFonts w:hint="eastAsia" w:hAnsi="仿宋_GB2312" w:cs="仿宋_GB2312"/>
                <w:sz w:val="24"/>
              </w:rPr>
            </w:pPr>
            <w:r>
              <w:rPr>
                <w:rFonts w:hint="eastAsia" w:hAnsi="仿宋_GB2312" w:cs="仿宋_GB2312"/>
                <w:sz w:val="24"/>
              </w:rPr>
              <w:t>3</w:t>
            </w:r>
          </w:p>
        </w:tc>
      </w:tr>
      <w:tr w14:paraId="4B91EDB6">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1413" w:type="dxa"/>
            <w:vMerge w:val="continue"/>
          </w:tcPr>
          <w:p w14:paraId="4E695944">
            <w:pPr>
              <w:widowControl/>
              <w:jc w:val="center"/>
              <w:rPr>
                <w:rFonts w:hint="eastAsia" w:hAnsi="仿宋_GB2312" w:cs="仿宋_GB2312"/>
                <w:b w:val="0"/>
                <w:bCs w:val="0"/>
                <w:sz w:val="24"/>
              </w:rPr>
            </w:pPr>
          </w:p>
        </w:tc>
        <w:tc>
          <w:tcPr>
            <w:tcW w:w="6379" w:type="dxa"/>
            <w:shd w:val="clear" w:color="auto" w:fill="DEEAF6" w:themeFill="accent5" w:themeFillTint="33"/>
          </w:tcPr>
          <w:p w14:paraId="3A925787">
            <w:pPr>
              <w:widowControl/>
              <w:jc w:val="center"/>
              <w:rPr>
                <w:rFonts w:hint="eastAsia" w:hAnsi="仿宋_GB2312" w:cs="仿宋_GB2312"/>
                <w:sz w:val="24"/>
              </w:rPr>
            </w:pPr>
            <w:r>
              <w:rPr>
                <w:rFonts w:hint="eastAsia" w:hAnsi="仿宋_GB2312" w:cs="仿宋_GB2312"/>
                <w:sz w:val="24"/>
              </w:rPr>
              <w:t>舞蹈表演</w:t>
            </w:r>
          </w:p>
        </w:tc>
        <w:tc>
          <w:tcPr>
            <w:tcW w:w="928" w:type="dxa"/>
          </w:tcPr>
          <w:p w14:paraId="1B349702">
            <w:pPr>
              <w:widowControl/>
              <w:jc w:val="center"/>
              <w:rPr>
                <w:rFonts w:hint="eastAsia" w:hAnsi="仿宋_GB2312" w:cs="仿宋_GB2312"/>
                <w:sz w:val="24"/>
              </w:rPr>
            </w:pPr>
            <w:r>
              <w:rPr>
                <w:rFonts w:hint="eastAsia" w:hAnsi="仿宋_GB2312" w:cs="仿宋_GB2312"/>
                <w:sz w:val="24"/>
              </w:rPr>
              <w:t>6</w:t>
            </w:r>
          </w:p>
        </w:tc>
      </w:tr>
      <w:tr w14:paraId="4749FC4B">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1413" w:type="dxa"/>
            <w:vMerge w:val="continue"/>
          </w:tcPr>
          <w:p w14:paraId="38592B9F">
            <w:pPr>
              <w:widowControl/>
              <w:jc w:val="center"/>
              <w:rPr>
                <w:rFonts w:hint="eastAsia" w:hAnsi="仿宋_GB2312" w:cs="仿宋_GB2312"/>
                <w:b w:val="0"/>
                <w:bCs w:val="0"/>
                <w:sz w:val="24"/>
              </w:rPr>
            </w:pPr>
          </w:p>
        </w:tc>
        <w:tc>
          <w:tcPr>
            <w:tcW w:w="6379" w:type="dxa"/>
            <w:shd w:val="clear" w:color="auto" w:fill="DEEAF6" w:themeFill="accent5" w:themeFillTint="33"/>
          </w:tcPr>
          <w:p w14:paraId="4FEB37B2">
            <w:pPr>
              <w:widowControl/>
              <w:jc w:val="center"/>
              <w:rPr>
                <w:rFonts w:hint="eastAsia" w:hAnsi="仿宋_GB2312" w:cs="仿宋_GB2312"/>
                <w:sz w:val="24"/>
              </w:rPr>
            </w:pPr>
            <w:r>
              <w:rPr>
                <w:rFonts w:hint="eastAsia" w:hAnsi="仿宋_GB2312" w:cs="仿宋_GB2312"/>
                <w:sz w:val="24"/>
              </w:rPr>
              <w:t>音乐表演</w:t>
            </w:r>
          </w:p>
        </w:tc>
        <w:tc>
          <w:tcPr>
            <w:tcW w:w="928" w:type="dxa"/>
          </w:tcPr>
          <w:p w14:paraId="0DC485B4">
            <w:pPr>
              <w:widowControl/>
              <w:jc w:val="center"/>
              <w:rPr>
                <w:rFonts w:hint="eastAsia" w:hAnsi="仿宋_GB2312" w:cs="仿宋_GB2312"/>
                <w:sz w:val="24"/>
              </w:rPr>
            </w:pPr>
            <w:r>
              <w:rPr>
                <w:rFonts w:hint="eastAsia" w:hAnsi="仿宋_GB2312" w:cs="仿宋_GB2312"/>
                <w:sz w:val="24"/>
              </w:rPr>
              <w:t>3</w:t>
            </w:r>
          </w:p>
        </w:tc>
      </w:tr>
      <w:tr w14:paraId="086F3832">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1413" w:type="dxa"/>
            <w:vMerge w:val="continue"/>
          </w:tcPr>
          <w:p w14:paraId="7C60A208">
            <w:pPr>
              <w:widowControl/>
              <w:jc w:val="center"/>
              <w:rPr>
                <w:rFonts w:hint="eastAsia" w:hAnsi="仿宋_GB2312" w:cs="仿宋_GB2312"/>
                <w:b w:val="0"/>
                <w:bCs w:val="0"/>
                <w:sz w:val="24"/>
              </w:rPr>
            </w:pPr>
          </w:p>
        </w:tc>
        <w:tc>
          <w:tcPr>
            <w:tcW w:w="6379" w:type="dxa"/>
            <w:shd w:val="clear" w:color="auto" w:fill="DEEAF6" w:themeFill="accent5" w:themeFillTint="33"/>
          </w:tcPr>
          <w:p w14:paraId="2235167A">
            <w:pPr>
              <w:widowControl/>
              <w:jc w:val="center"/>
              <w:rPr>
                <w:rFonts w:hint="eastAsia" w:hAnsi="仿宋_GB2312" w:cs="仿宋_GB2312"/>
                <w:sz w:val="24"/>
              </w:rPr>
            </w:pPr>
            <w:r>
              <w:rPr>
                <w:rFonts w:hint="eastAsia" w:hAnsi="仿宋_GB2312" w:cs="仿宋_GB2312"/>
                <w:sz w:val="24"/>
              </w:rPr>
              <w:t>绘画</w:t>
            </w:r>
          </w:p>
        </w:tc>
        <w:tc>
          <w:tcPr>
            <w:tcW w:w="928" w:type="dxa"/>
          </w:tcPr>
          <w:p w14:paraId="69AC0CAD">
            <w:pPr>
              <w:widowControl/>
              <w:jc w:val="center"/>
              <w:rPr>
                <w:rFonts w:hint="eastAsia" w:hAnsi="仿宋_GB2312" w:cs="仿宋_GB2312"/>
                <w:sz w:val="24"/>
              </w:rPr>
            </w:pPr>
            <w:r>
              <w:rPr>
                <w:rFonts w:hint="eastAsia" w:hAnsi="仿宋_GB2312" w:cs="仿宋_GB2312"/>
                <w:sz w:val="24"/>
              </w:rPr>
              <w:t>3</w:t>
            </w:r>
          </w:p>
        </w:tc>
      </w:tr>
      <w:tr w14:paraId="5655E35C">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1413" w:type="dxa"/>
            <w:vMerge w:val="continue"/>
          </w:tcPr>
          <w:p w14:paraId="2DCB867F">
            <w:pPr>
              <w:widowControl/>
              <w:jc w:val="center"/>
              <w:rPr>
                <w:rFonts w:hint="eastAsia" w:hAnsi="仿宋_GB2312" w:cs="仿宋_GB2312"/>
                <w:b w:val="0"/>
                <w:bCs w:val="0"/>
                <w:sz w:val="24"/>
              </w:rPr>
            </w:pPr>
          </w:p>
        </w:tc>
        <w:tc>
          <w:tcPr>
            <w:tcW w:w="6379" w:type="dxa"/>
            <w:shd w:val="clear" w:color="auto" w:fill="DEEAF6" w:themeFill="accent5" w:themeFillTint="33"/>
          </w:tcPr>
          <w:p w14:paraId="73F36FAE">
            <w:pPr>
              <w:widowControl/>
              <w:jc w:val="center"/>
              <w:rPr>
                <w:rFonts w:hint="eastAsia" w:hAnsi="仿宋_GB2312" w:cs="仿宋_GB2312"/>
                <w:sz w:val="24"/>
              </w:rPr>
            </w:pPr>
            <w:r>
              <w:rPr>
                <w:rFonts w:hint="eastAsia" w:hAnsi="仿宋_GB2312" w:cs="仿宋_GB2312"/>
                <w:sz w:val="24"/>
              </w:rPr>
              <w:t>播音与主持</w:t>
            </w:r>
          </w:p>
        </w:tc>
        <w:tc>
          <w:tcPr>
            <w:tcW w:w="928" w:type="dxa"/>
          </w:tcPr>
          <w:p w14:paraId="5D10533B">
            <w:pPr>
              <w:widowControl/>
              <w:jc w:val="center"/>
              <w:rPr>
                <w:rFonts w:hint="eastAsia" w:hAnsi="仿宋_GB2312" w:cs="仿宋_GB2312"/>
                <w:sz w:val="24"/>
              </w:rPr>
            </w:pPr>
            <w:r>
              <w:rPr>
                <w:rFonts w:hint="eastAsia" w:hAnsi="仿宋_GB2312" w:cs="仿宋_GB2312"/>
                <w:sz w:val="24"/>
              </w:rPr>
              <w:t>3</w:t>
            </w:r>
          </w:p>
        </w:tc>
      </w:tr>
      <w:tr w14:paraId="372A8C75">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1413" w:type="dxa"/>
            <w:vMerge w:val="continue"/>
          </w:tcPr>
          <w:p w14:paraId="380033F6">
            <w:pPr>
              <w:widowControl/>
              <w:jc w:val="center"/>
              <w:rPr>
                <w:rFonts w:hint="eastAsia" w:hAnsi="仿宋_GB2312" w:cs="仿宋_GB2312"/>
                <w:b w:val="0"/>
                <w:bCs w:val="0"/>
                <w:sz w:val="24"/>
              </w:rPr>
            </w:pPr>
          </w:p>
        </w:tc>
        <w:tc>
          <w:tcPr>
            <w:tcW w:w="6379" w:type="dxa"/>
            <w:shd w:val="clear" w:color="auto" w:fill="DEEAF6" w:themeFill="accent5" w:themeFillTint="33"/>
          </w:tcPr>
          <w:p w14:paraId="7AD641A6">
            <w:pPr>
              <w:widowControl/>
              <w:jc w:val="center"/>
              <w:rPr>
                <w:rFonts w:hint="eastAsia" w:hAnsi="仿宋_GB2312" w:cs="仿宋_GB2312"/>
                <w:sz w:val="24"/>
              </w:rPr>
            </w:pPr>
            <w:r>
              <w:rPr>
                <w:rFonts w:hint="eastAsia" w:hAnsi="仿宋_GB2312" w:cs="仿宋_GB2312"/>
                <w:sz w:val="24"/>
              </w:rPr>
              <w:t>戏曲表演</w:t>
            </w:r>
          </w:p>
        </w:tc>
        <w:tc>
          <w:tcPr>
            <w:tcW w:w="928" w:type="dxa"/>
          </w:tcPr>
          <w:p w14:paraId="08A182FB">
            <w:pPr>
              <w:widowControl/>
              <w:jc w:val="center"/>
              <w:rPr>
                <w:rFonts w:hint="eastAsia" w:hAnsi="仿宋_GB2312" w:cs="仿宋_GB2312"/>
                <w:sz w:val="24"/>
              </w:rPr>
            </w:pPr>
            <w:r>
              <w:rPr>
                <w:rFonts w:hint="eastAsia" w:hAnsi="仿宋_GB2312" w:cs="仿宋_GB2312"/>
                <w:sz w:val="24"/>
              </w:rPr>
              <w:t>3</w:t>
            </w:r>
          </w:p>
        </w:tc>
      </w:tr>
      <w:tr w14:paraId="68909265">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1413" w:type="dxa"/>
            <w:vMerge w:val="continue"/>
          </w:tcPr>
          <w:p w14:paraId="765B43F6">
            <w:pPr>
              <w:widowControl/>
              <w:jc w:val="center"/>
              <w:rPr>
                <w:rFonts w:hint="eastAsia" w:hAnsi="仿宋_GB2312" w:cs="仿宋_GB2312"/>
                <w:b w:val="0"/>
                <w:bCs w:val="0"/>
                <w:sz w:val="24"/>
              </w:rPr>
            </w:pPr>
          </w:p>
        </w:tc>
        <w:tc>
          <w:tcPr>
            <w:tcW w:w="6379" w:type="dxa"/>
            <w:shd w:val="clear" w:color="auto" w:fill="DEEAF6" w:themeFill="accent5" w:themeFillTint="33"/>
          </w:tcPr>
          <w:p w14:paraId="264B1DF1">
            <w:pPr>
              <w:widowControl/>
              <w:jc w:val="center"/>
              <w:rPr>
                <w:rFonts w:hint="eastAsia" w:hAnsi="仿宋_GB2312" w:cs="仿宋_GB2312"/>
                <w:sz w:val="24"/>
              </w:rPr>
            </w:pPr>
            <w:r>
              <w:rPr>
                <w:rFonts w:hint="eastAsia" w:hAnsi="仿宋_GB2312" w:cs="仿宋_GB2312"/>
                <w:sz w:val="24"/>
              </w:rPr>
              <w:t>戏曲表演</w:t>
            </w:r>
          </w:p>
        </w:tc>
        <w:tc>
          <w:tcPr>
            <w:tcW w:w="928" w:type="dxa"/>
          </w:tcPr>
          <w:p w14:paraId="2AC87DD8">
            <w:pPr>
              <w:widowControl/>
              <w:jc w:val="center"/>
              <w:rPr>
                <w:rFonts w:hint="eastAsia" w:hAnsi="仿宋_GB2312" w:cs="仿宋_GB2312"/>
                <w:sz w:val="24"/>
              </w:rPr>
            </w:pPr>
            <w:r>
              <w:rPr>
                <w:rFonts w:hint="eastAsia" w:hAnsi="仿宋_GB2312" w:cs="仿宋_GB2312"/>
                <w:sz w:val="24"/>
              </w:rPr>
              <w:t>6</w:t>
            </w:r>
          </w:p>
        </w:tc>
      </w:tr>
      <w:tr w14:paraId="41A75EC4">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1413" w:type="dxa"/>
            <w:vMerge w:val="restart"/>
            <w:vAlign w:val="center"/>
          </w:tcPr>
          <w:p w14:paraId="0D4D1F1C">
            <w:pPr>
              <w:widowControl/>
              <w:jc w:val="center"/>
              <w:rPr>
                <w:rFonts w:hint="eastAsia" w:hAnsi="仿宋_GB2312" w:cs="仿宋_GB2312"/>
                <w:b w:val="0"/>
                <w:bCs w:val="0"/>
                <w:sz w:val="24"/>
              </w:rPr>
            </w:pPr>
            <w:r>
              <w:rPr>
                <w:rFonts w:hint="eastAsia" w:hAnsi="仿宋_GB2312" w:cs="仿宋_GB2312"/>
                <w:b/>
                <w:bCs/>
                <w:sz w:val="24"/>
              </w:rPr>
              <w:t>春季高考</w:t>
            </w:r>
          </w:p>
        </w:tc>
        <w:tc>
          <w:tcPr>
            <w:tcW w:w="6379" w:type="dxa"/>
            <w:shd w:val="clear" w:color="auto" w:fill="DEEAF6" w:themeFill="accent5" w:themeFillTint="33"/>
          </w:tcPr>
          <w:p w14:paraId="62AF36A8">
            <w:pPr>
              <w:widowControl/>
              <w:jc w:val="center"/>
              <w:rPr>
                <w:rFonts w:hint="eastAsia" w:hAnsi="仿宋_GB2312" w:cs="仿宋_GB2312"/>
                <w:sz w:val="24"/>
              </w:rPr>
            </w:pPr>
            <w:r>
              <w:rPr>
                <w:rFonts w:hint="eastAsia" w:hAnsi="仿宋_GB2312" w:cs="仿宋_GB2312"/>
                <w:sz w:val="24"/>
              </w:rPr>
              <w:t>数字影像技术</w:t>
            </w:r>
          </w:p>
        </w:tc>
        <w:tc>
          <w:tcPr>
            <w:tcW w:w="928" w:type="dxa"/>
          </w:tcPr>
          <w:p w14:paraId="76D0C1CA">
            <w:pPr>
              <w:widowControl/>
              <w:jc w:val="center"/>
              <w:rPr>
                <w:rFonts w:hint="eastAsia" w:hAnsi="仿宋_GB2312" w:cs="仿宋_GB2312"/>
                <w:sz w:val="24"/>
              </w:rPr>
            </w:pPr>
            <w:r>
              <w:rPr>
                <w:rFonts w:hint="eastAsia" w:hAnsi="仿宋_GB2312" w:cs="仿宋_GB2312"/>
                <w:sz w:val="24"/>
              </w:rPr>
              <w:t>3</w:t>
            </w:r>
          </w:p>
        </w:tc>
      </w:tr>
      <w:tr w14:paraId="6E5B3D6A">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1413" w:type="dxa"/>
            <w:vMerge w:val="continue"/>
          </w:tcPr>
          <w:p w14:paraId="4CEB4CC2">
            <w:pPr>
              <w:widowControl/>
              <w:jc w:val="center"/>
              <w:rPr>
                <w:rFonts w:hint="eastAsia" w:hAnsi="仿宋_GB2312" w:cs="仿宋_GB2312"/>
                <w:b w:val="0"/>
                <w:bCs w:val="0"/>
                <w:sz w:val="24"/>
              </w:rPr>
            </w:pPr>
          </w:p>
        </w:tc>
        <w:tc>
          <w:tcPr>
            <w:tcW w:w="6379" w:type="dxa"/>
            <w:shd w:val="clear" w:color="auto" w:fill="DEEAF6" w:themeFill="accent5" w:themeFillTint="33"/>
          </w:tcPr>
          <w:p w14:paraId="79EC9A38">
            <w:pPr>
              <w:widowControl/>
              <w:jc w:val="center"/>
              <w:rPr>
                <w:rFonts w:hint="eastAsia" w:hAnsi="仿宋_GB2312" w:cs="仿宋_GB2312"/>
                <w:sz w:val="24"/>
              </w:rPr>
            </w:pPr>
            <w:r>
              <w:rPr>
                <w:rFonts w:hint="eastAsia" w:hAnsi="仿宋_GB2312" w:cs="仿宋_GB2312"/>
                <w:sz w:val="24"/>
              </w:rPr>
              <w:t>艺术设计与制作</w:t>
            </w:r>
          </w:p>
        </w:tc>
        <w:tc>
          <w:tcPr>
            <w:tcW w:w="928" w:type="dxa"/>
          </w:tcPr>
          <w:p w14:paraId="04E55E31">
            <w:pPr>
              <w:widowControl/>
              <w:jc w:val="center"/>
              <w:rPr>
                <w:rFonts w:hint="eastAsia" w:hAnsi="仿宋_GB2312" w:cs="仿宋_GB2312"/>
                <w:sz w:val="24"/>
              </w:rPr>
            </w:pPr>
            <w:r>
              <w:rPr>
                <w:rFonts w:hint="eastAsia" w:hAnsi="仿宋_GB2312" w:cs="仿宋_GB2312"/>
                <w:sz w:val="24"/>
              </w:rPr>
              <w:t>3</w:t>
            </w:r>
          </w:p>
        </w:tc>
      </w:tr>
      <w:tr w14:paraId="0FC36471">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1413" w:type="dxa"/>
            <w:vMerge w:val="continue"/>
          </w:tcPr>
          <w:p w14:paraId="3D4FED84">
            <w:pPr>
              <w:widowControl/>
              <w:jc w:val="center"/>
              <w:rPr>
                <w:rFonts w:hint="eastAsia" w:hAnsi="仿宋_GB2312" w:cs="仿宋_GB2312"/>
                <w:b w:val="0"/>
                <w:bCs w:val="0"/>
                <w:sz w:val="24"/>
              </w:rPr>
            </w:pPr>
          </w:p>
        </w:tc>
        <w:tc>
          <w:tcPr>
            <w:tcW w:w="6379" w:type="dxa"/>
            <w:shd w:val="clear" w:color="auto" w:fill="DEEAF6" w:themeFill="accent5" w:themeFillTint="33"/>
          </w:tcPr>
          <w:p w14:paraId="3E57AAE8">
            <w:pPr>
              <w:widowControl/>
              <w:jc w:val="center"/>
              <w:rPr>
                <w:rFonts w:hint="eastAsia" w:hAnsi="仿宋_GB2312" w:cs="仿宋_GB2312"/>
                <w:sz w:val="24"/>
              </w:rPr>
            </w:pPr>
            <w:r>
              <w:rPr>
                <w:rFonts w:hint="eastAsia" w:hAnsi="仿宋_GB2312" w:cs="仿宋_GB2312"/>
                <w:sz w:val="24"/>
              </w:rPr>
              <w:t>旅游服务与管理</w:t>
            </w:r>
          </w:p>
        </w:tc>
        <w:tc>
          <w:tcPr>
            <w:tcW w:w="928" w:type="dxa"/>
          </w:tcPr>
          <w:p w14:paraId="44446AD6">
            <w:pPr>
              <w:widowControl/>
              <w:jc w:val="center"/>
              <w:rPr>
                <w:rFonts w:hint="eastAsia" w:hAnsi="仿宋_GB2312" w:cs="仿宋_GB2312"/>
                <w:sz w:val="24"/>
              </w:rPr>
            </w:pPr>
            <w:r>
              <w:rPr>
                <w:rFonts w:hint="eastAsia" w:hAnsi="仿宋_GB2312" w:cs="仿宋_GB2312"/>
                <w:sz w:val="24"/>
              </w:rPr>
              <w:t>3</w:t>
            </w:r>
          </w:p>
        </w:tc>
      </w:tr>
      <w:tr w14:paraId="6C711553">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1413" w:type="dxa"/>
            <w:vMerge w:val="continue"/>
          </w:tcPr>
          <w:p w14:paraId="55F10E94">
            <w:pPr>
              <w:widowControl/>
              <w:jc w:val="center"/>
              <w:rPr>
                <w:rFonts w:hint="eastAsia" w:hAnsi="仿宋_GB2312" w:cs="仿宋_GB2312"/>
                <w:b w:val="0"/>
                <w:bCs w:val="0"/>
                <w:sz w:val="24"/>
              </w:rPr>
            </w:pPr>
          </w:p>
        </w:tc>
        <w:tc>
          <w:tcPr>
            <w:tcW w:w="6379" w:type="dxa"/>
            <w:shd w:val="clear" w:color="auto" w:fill="DEEAF6" w:themeFill="accent5" w:themeFillTint="33"/>
          </w:tcPr>
          <w:p w14:paraId="1BC92134">
            <w:pPr>
              <w:widowControl/>
              <w:jc w:val="center"/>
              <w:rPr>
                <w:rFonts w:hint="eastAsia" w:hAnsi="仿宋_GB2312" w:cs="仿宋_GB2312"/>
                <w:sz w:val="24"/>
              </w:rPr>
            </w:pPr>
            <w:r>
              <w:rPr>
                <w:rFonts w:hint="eastAsia" w:hAnsi="仿宋_GB2312" w:cs="仿宋_GB2312"/>
                <w:sz w:val="24"/>
              </w:rPr>
              <w:t>直播电商服务</w:t>
            </w:r>
          </w:p>
        </w:tc>
        <w:tc>
          <w:tcPr>
            <w:tcW w:w="928" w:type="dxa"/>
          </w:tcPr>
          <w:p w14:paraId="0E0B8EC7">
            <w:pPr>
              <w:widowControl/>
              <w:jc w:val="center"/>
              <w:rPr>
                <w:rFonts w:hint="eastAsia" w:hAnsi="仿宋_GB2312" w:cs="仿宋_GB2312"/>
                <w:sz w:val="24"/>
              </w:rPr>
            </w:pPr>
            <w:r>
              <w:rPr>
                <w:rFonts w:hint="eastAsia" w:hAnsi="仿宋_GB2312" w:cs="仿宋_GB2312"/>
                <w:sz w:val="24"/>
              </w:rPr>
              <w:t>3</w:t>
            </w:r>
          </w:p>
        </w:tc>
      </w:tr>
      <w:tr w14:paraId="43EFE3CC">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1413" w:type="dxa"/>
            <w:vMerge w:val="continue"/>
          </w:tcPr>
          <w:p w14:paraId="494BF15C">
            <w:pPr>
              <w:widowControl/>
              <w:jc w:val="center"/>
              <w:rPr>
                <w:rFonts w:hint="eastAsia" w:hAnsi="仿宋_GB2312" w:cs="仿宋_GB2312"/>
                <w:b w:val="0"/>
                <w:bCs w:val="0"/>
                <w:sz w:val="24"/>
              </w:rPr>
            </w:pPr>
          </w:p>
        </w:tc>
        <w:tc>
          <w:tcPr>
            <w:tcW w:w="6379" w:type="dxa"/>
            <w:shd w:val="clear" w:color="auto" w:fill="DEEAF6" w:themeFill="accent5" w:themeFillTint="33"/>
          </w:tcPr>
          <w:p w14:paraId="017738F5">
            <w:pPr>
              <w:widowControl/>
              <w:jc w:val="center"/>
              <w:rPr>
                <w:rFonts w:hint="eastAsia" w:hAnsi="仿宋_GB2312" w:cs="仿宋_GB2312"/>
                <w:sz w:val="24"/>
              </w:rPr>
            </w:pPr>
            <w:r>
              <w:rPr>
                <w:rFonts w:hint="eastAsia" w:hAnsi="仿宋_GB2312" w:cs="仿宋_GB2312"/>
                <w:sz w:val="24"/>
              </w:rPr>
              <w:t>幼儿保育</w:t>
            </w:r>
          </w:p>
        </w:tc>
        <w:tc>
          <w:tcPr>
            <w:tcW w:w="928" w:type="dxa"/>
          </w:tcPr>
          <w:p w14:paraId="55D0BD02">
            <w:pPr>
              <w:widowControl/>
              <w:jc w:val="center"/>
              <w:rPr>
                <w:rFonts w:hint="eastAsia" w:hAnsi="仿宋_GB2312" w:cs="仿宋_GB2312"/>
                <w:sz w:val="24"/>
              </w:rPr>
            </w:pPr>
            <w:r>
              <w:rPr>
                <w:rFonts w:hint="eastAsia" w:hAnsi="仿宋_GB2312" w:cs="仿宋_GB2312"/>
                <w:sz w:val="24"/>
              </w:rPr>
              <w:t>3</w:t>
            </w:r>
          </w:p>
        </w:tc>
      </w:tr>
      <w:tr w14:paraId="5C7F2FBA">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1413" w:type="dxa"/>
            <w:vMerge w:val="continue"/>
          </w:tcPr>
          <w:p w14:paraId="6502E7E4">
            <w:pPr>
              <w:widowControl/>
              <w:jc w:val="center"/>
              <w:rPr>
                <w:rFonts w:hint="eastAsia" w:hAnsi="仿宋_GB2312" w:cs="仿宋_GB2312"/>
                <w:b w:val="0"/>
                <w:bCs w:val="0"/>
                <w:sz w:val="24"/>
              </w:rPr>
            </w:pPr>
          </w:p>
        </w:tc>
        <w:tc>
          <w:tcPr>
            <w:tcW w:w="6379" w:type="dxa"/>
            <w:shd w:val="clear" w:color="auto" w:fill="DEEAF6" w:themeFill="accent5" w:themeFillTint="33"/>
          </w:tcPr>
          <w:p w14:paraId="3B870D6A">
            <w:pPr>
              <w:widowControl/>
              <w:jc w:val="center"/>
              <w:rPr>
                <w:rFonts w:hint="eastAsia" w:hAnsi="仿宋_GB2312" w:cs="仿宋_GB2312"/>
                <w:sz w:val="24"/>
              </w:rPr>
            </w:pPr>
            <w:r>
              <w:rPr>
                <w:rFonts w:hint="eastAsia" w:hAnsi="仿宋_GB2312" w:cs="仿宋_GB2312"/>
                <w:sz w:val="24"/>
              </w:rPr>
              <w:t>文物保护技术</w:t>
            </w:r>
          </w:p>
        </w:tc>
        <w:tc>
          <w:tcPr>
            <w:tcW w:w="928" w:type="dxa"/>
          </w:tcPr>
          <w:p w14:paraId="471A7173">
            <w:pPr>
              <w:widowControl/>
              <w:jc w:val="center"/>
              <w:rPr>
                <w:rFonts w:hint="eastAsia" w:hAnsi="仿宋_GB2312" w:cs="仿宋_GB2312"/>
                <w:sz w:val="24"/>
              </w:rPr>
            </w:pPr>
            <w:r>
              <w:rPr>
                <w:rFonts w:hint="eastAsia" w:hAnsi="仿宋_GB2312" w:cs="仿宋_GB2312"/>
                <w:sz w:val="24"/>
              </w:rPr>
              <w:t>3</w:t>
            </w:r>
          </w:p>
        </w:tc>
      </w:tr>
    </w:tbl>
    <w:p w14:paraId="1656E271">
      <w:pPr>
        <w:widowControl/>
        <w:ind w:firstLine="640" w:firstLineChars="200"/>
        <w:rPr>
          <w:rFonts w:hint="eastAsia" w:hAnsi="仿宋_GB2312" w:cs="仿宋_GB2312"/>
          <w:szCs w:val="32"/>
        </w:rPr>
      </w:pPr>
      <w:r>
        <w:rPr>
          <w:rFonts w:hint="eastAsia" w:hAnsi="仿宋_GB2312" w:cs="仿宋_GB2312"/>
          <w:szCs w:val="32"/>
        </w:rPr>
        <w:t>202</w:t>
      </w:r>
      <w:r>
        <w:rPr>
          <w:rFonts w:hint="eastAsia" w:hAnsi="仿宋_GB2312" w:cs="仿宋_GB2312"/>
          <w:szCs w:val="32"/>
          <w:lang w:val="en-US" w:eastAsia="zh-CN"/>
        </w:rPr>
        <w:t>5</w:t>
      </w:r>
      <w:r>
        <w:rPr>
          <w:rFonts w:hint="eastAsia" w:hAnsi="仿宋_GB2312" w:cs="仿宋_GB2312"/>
          <w:szCs w:val="32"/>
        </w:rPr>
        <w:t>年，学校全日制在校生总数</w:t>
      </w:r>
      <w:r>
        <w:rPr>
          <w:rFonts w:hint="eastAsia" w:hAnsi="仿宋_GB2312" w:cs="仿宋_GB2312"/>
          <w:szCs w:val="32"/>
          <w:highlight w:val="none"/>
          <w:lang w:val="en-US" w:eastAsia="zh-CN"/>
        </w:rPr>
        <w:t>3153</w:t>
      </w:r>
      <w:r>
        <w:rPr>
          <w:rFonts w:hint="eastAsia" w:hAnsi="仿宋_GB2312" w:cs="仿宋_GB2312"/>
          <w:szCs w:val="32"/>
        </w:rPr>
        <w:t>人；毕业生</w:t>
      </w:r>
      <w:r>
        <w:rPr>
          <w:rFonts w:hint="eastAsia" w:hAnsi="仿宋_GB2312" w:cs="仿宋_GB2312"/>
          <w:szCs w:val="32"/>
          <w:lang w:val="en-US" w:eastAsia="zh-CN"/>
        </w:rPr>
        <w:t>1217</w:t>
      </w:r>
      <w:r>
        <w:rPr>
          <w:rFonts w:hint="eastAsia" w:hAnsi="仿宋_GB2312" w:cs="仿宋_GB2312"/>
          <w:szCs w:val="32"/>
        </w:rPr>
        <w:t>人，较上一年度增加</w:t>
      </w:r>
      <w:r>
        <w:rPr>
          <w:rFonts w:hint="eastAsia" w:hAnsi="仿宋_GB2312" w:cs="仿宋_GB2312"/>
          <w:szCs w:val="32"/>
          <w:lang w:val="en-US" w:eastAsia="zh-CN"/>
        </w:rPr>
        <w:t>299</w:t>
      </w:r>
      <w:r>
        <w:rPr>
          <w:rFonts w:hint="eastAsia" w:hAnsi="仿宋_GB2312" w:cs="仿宋_GB2312"/>
          <w:szCs w:val="32"/>
        </w:rPr>
        <w:t>人（详见表1-2）。</w:t>
      </w:r>
    </w:p>
    <w:p w14:paraId="1E39C3CC">
      <w:pPr>
        <w:widowControl/>
        <w:jc w:val="center"/>
        <w:rPr>
          <w:rFonts w:hint="eastAsia" w:hAnsi="仿宋_GB2312" w:cs="仿宋_GB2312"/>
          <w:b/>
          <w:bCs/>
          <w:sz w:val="24"/>
        </w:rPr>
      </w:pPr>
      <w:r>
        <w:rPr>
          <w:rFonts w:hint="eastAsia" w:hAnsi="仿宋_GB2312" w:cs="仿宋_GB2312"/>
          <w:b/>
          <w:bCs/>
          <w:sz w:val="24"/>
        </w:rPr>
        <w:t>表1-2  临沂艺术学校学生情况表</w:t>
      </w:r>
    </w:p>
    <w:tbl>
      <w:tblPr>
        <w:tblStyle w:val="35"/>
        <w:tblW w:w="0" w:type="auto"/>
        <w:tblInd w:w="0" w:type="dxa"/>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Layout w:type="autofit"/>
        <w:tblCellMar>
          <w:top w:w="0" w:type="dxa"/>
          <w:left w:w="108" w:type="dxa"/>
          <w:bottom w:w="0" w:type="dxa"/>
          <w:right w:w="108" w:type="dxa"/>
        </w:tblCellMar>
      </w:tblPr>
      <w:tblGrid>
        <w:gridCol w:w="2906"/>
        <w:gridCol w:w="2907"/>
        <w:gridCol w:w="2907"/>
      </w:tblGrid>
      <w:tr w14:paraId="07A324B6">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Ex>
        <w:tc>
          <w:tcPr>
            <w:tcW w:w="2906" w:type="dxa"/>
            <w:tcBorders>
              <w:top w:val="single" w:color="5B9BD5" w:themeColor="accent5" w:sz="4" w:space="0"/>
              <w:left w:val="single" w:color="5B9BD5" w:themeColor="accent5" w:sz="4" w:space="0"/>
              <w:bottom w:val="single" w:color="5B9BD5" w:themeColor="accent5" w:sz="4" w:space="0"/>
              <w:right w:val="nil"/>
              <w:insideH w:val="single" w:sz="4" w:space="0"/>
              <w:insideV w:val="nil"/>
            </w:tcBorders>
            <w:shd w:val="clear" w:color="auto" w:fill="5B9BD5" w:themeFill="accent5"/>
          </w:tcPr>
          <w:p w14:paraId="29192C2C">
            <w:pPr>
              <w:widowControl/>
              <w:jc w:val="center"/>
              <w:rPr>
                <w:rFonts w:hint="eastAsia" w:hAnsi="仿宋_GB2312" w:cs="仿宋_GB2312"/>
                <w:b w:val="0"/>
                <w:bCs w:val="0"/>
                <w:color w:val="FFFFFF" w:themeColor="background1"/>
                <w:sz w:val="24"/>
                <w14:textFill>
                  <w14:solidFill>
                    <w14:schemeClr w14:val="bg1"/>
                  </w14:solidFill>
                </w14:textFill>
              </w:rPr>
            </w:pPr>
            <w:r>
              <w:rPr>
                <w:rFonts w:hint="eastAsia" w:hAnsi="仿宋_GB2312" w:cs="仿宋_GB2312"/>
                <w:b/>
                <w:bCs/>
                <w:color w:val="FFFFFF" w:themeColor="background1"/>
                <w:sz w:val="24"/>
                <w14:textFill>
                  <w14:solidFill>
                    <w14:schemeClr w14:val="bg1"/>
                  </w14:solidFill>
                </w14:textFill>
              </w:rPr>
              <w:t>年份</w:t>
            </w:r>
          </w:p>
        </w:tc>
        <w:tc>
          <w:tcPr>
            <w:tcW w:w="2907" w:type="dxa"/>
            <w:tcBorders>
              <w:top w:val="single" w:color="5B9BD5" w:themeColor="accent5" w:sz="4" w:space="0"/>
              <w:bottom w:val="single" w:color="5B9BD5" w:themeColor="accent5" w:sz="4" w:space="0"/>
              <w:right w:val="nil"/>
              <w:insideH w:val="single" w:sz="4" w:space="0"/>
              <w:insideV w:val="nil"/>
            </w:tcBorders>
            <w:shd w:val="clear" w:color="auto" w:fill="5B9BD5" w:themeFill="accent5"/>
          </w:tcPr>
          <w:p w14:paraId="45C05D44">
            <w:pPr>
              <w:widowControl/>
              <w:jc w:val="center"/>
              <w:rPr>
                <w:rFonts w:hint="eastAsia" w:hAnsi="仿宋_GB2312" w:cs="仿宋_GB2312"/>
                <w:b w:val="0"/>
                <w:bCs w:val="0"/>
                <w:color w:val="FFFFFF" w:themeColor="background1"/>
                <w:sz w:val="24"/>
                <w14:textFill>
                  <w14:solidFill>
                    <w14:schemeClr w14:val="bg1"/>
                  </w14:solidFill>
                </w14:textFill>
              </w:rPr>
            </w:pPr>
            <w:r>
              <w:rPr>
                <w:rFonts w:hint="eastAsia" w:hAnsi="仿宋_GB2312" w:cs="仿宋_GB2312"/>
                <w:b/>
                <w:bCs/>
                <w:color w:val="FFFFFF" w:themeColor="background1"/>
                <w:sz w:val="24"/>
                <w14:textFill>
                  <w14:solidFill>
                    <w14:schemeClr w14:val="bg1"/>
                  </w14:solidFill>
                </w14:textFill>
              </w:rPr>
              <w:t>在校生数</w:t>
            </w:r>
          </w:p>
        </w:tc>
        <w:tc>
          <w:tcPr>
            <w:tcW w:w="2907" w:type="dxa"/>
            <w:tcBorders>
              <w:top w:val="single" w:color="5B9BD5" w:themeColor="accent5" w:sz="4" w:space="0"/>
              <w:bottom w:val="single" w:color="5B9BD5" w:themeColor="accent5" w:sz="4" w:space="0"/>
              <w:right w:val="single" w:color="5B9BD5" w:themeColor="accent5" w:sz="4" w:space="0"/>
              <w:insideH w:val="single" w:sz="4" w:space="0"/>
              <w:insideV w:val="nil"/>
            </w:tcBorders>
            <w:shd w:val="clear" w:color="auto" w:fill="5B9BD5" w:themeFill="accent5"/>
          </w:tcPr>
          <w:p w14:paraId="7FC6C5E7">
            <w:pPr>
              <w:widowControl/>
              <w:jc w:val="center"/>
              <w:rPr>
                <w:rFonts w:hint="eastAsia" w:hAnsi="仿宋_GB2312" w:cs="仿宋_GB2312"/>
                <w:b w:val="0"/>
                <w:bCs w:val="0"/>
                <w:color w:val="FFFFFF" w:themeColor="background1"/>
                <w:sz w:val="24"/>
                <w14:textFill>
                  <w14:solidFill>
                    <w14:schemeClr w14:val="bg1"/>
                  </w14:solidFill>
                </w14:textFill>
              </w:rPr>
            </w:pPr>
            <w:r>
              <w:rPr>
                <w:rFonts w:hint="eastAsia" w:hAnsi="仿宋_GB2312" w:cs="仿宋_GB2312"/>
                <w:b/>
                <w:bCs/>
                <w:color w:val="FFFFFF" w:themeColor="background1"/>
                <w:sz w:val="24"/>
                <w14:textFill>
                  <w14:solidFill>
                    <w14:schemeClr w14:val="bg1"/>
                  </w14:solidFill>
                </w14:textFill>
              </w:rPr>
              <w:t>毕业生数</w:t>
            </w:r>
          </w:p>
        </w:tc>
      </w:tr>
      <w:tr w14:paraId="468E4FB7">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2906" w:type="dxa"/>
          </w:tcPr>
          <w:p w14:paraId="18C3FBEA">
            <w:pPr>
              <w:widowControl/>
              <w:jc w:val="center"/>
              <w:rPr>
                <w:rFonts w:hint="eastAsia" w:hAnsi="仿宋_GB2312" w:cs="仿宋_GB2312"/>
                <w:b w:val="0"/>
                <w:bCs w:val="0"/>
                <w:sz w:val="24"/>
              </w:rPr>
            </w:pPr>
            <w:r>
              <w:rPr>
                <w:rFonts w:hint="eastAsia" w:hAnsi="仿宋_GB2312" w:cs="仿宋_GB2312"/>
                <w:b/>
                <w:bCs/>
                <w:sz w:val="24"/>
              </w:rPr>
              <w:t>202</w:t>
            </w:r>
            <w:r>
              <w:rPr>
                <w:rFonts w:hint="eastAsia" w:hAnsi="仿宋_GB2312" w:cs="仿宋_GB2312"/>
                <w:b/>
                <w:bCs/>
                <w:sz w:val="24"/>
                <w:lang w:val="en-US" w:eastAsia="zh-CN"/>
              </w:rPr>
              <w:t>4</w:t>
            </w:r>
            <w:r>
              <w:rPr>
                <w:rFonts w:hint="eastAsia" w:hAnsi="仿宋_GB2312" w:cs="仿宋_GB2312"/>
                <w:b/>
                <w:bCs/>
                <w:sz w:val="24"/>
              </w:rPr>
              <w:t>年</w:t>
            </w:r>
          </w:p>
        </w:tc>
        <w:tc>
          <w:tcPr>
            <w:tcW w:w="2907" w:type="dxa"/>
            <w:shd w:val="clear" w:color="auto" w:fill="DEEAF6" w:themeFill="accent5" w:themeFillTint="33"/>
            <w:vAlign w:val="top"/>
          </w:tcPr>
          <w:p w14:paraId="31A3F06A">
            <w:pPr>
              <w:widowControl/>
              <w:jc w:val="center"/>
              <w:rPr>
                <w:rFonts w:hint="eastAsia" w:hAnsi="仿宋_GB2312" w:cs="仿宋_GB2312"/>
                <w:sz w:val="24"/>
              </w:rPr>
            </w:pPr>
            <w:r>
              <w:rPr>
                <w:rFonts w:hint="eastAsia" w:hAnsi="仿宋_GB2312" w:cs="仿宋_GB2312"/>
                <w:sz w:val="24"/>
              </w:rPr>
              <w:t>3204</w:t>
            </w:r>
          </w:p>
        </w:tc>
        <w:tc>
          <w:tcPr>
            <w:tcW w:w="2907" w:type="dxa"/>
            <w:vAlign w:val="top"/>
          </w:tcPr>
          <w:p w14:paraId="794AD305">
            <w:pPr>
              <w:widowControl/>
              <w:jc w:val="center"/>
              <w:rPr>
                <w:rFonts w:hint="eastAsia" w:hAnsi="仿宋_GB2312" w:cs="仿宋_GB2312"/>
                <w:sz w:val="24"/>
              </w:rPr>
            </w:pPr>
            <w:r>
              <w:rPr>
                <w:rFonts w:hint="eastAsia" w:hAnsi="仿宋_GB2312" w:cs="仿宋_GB2312"/>
                <w:sz w:val="24"/>
              </w:rPr>
              <w:t>918</w:t>
            </w:r>
          </w:p>
        </w:tc>
      </w:tr>
      <w:tr w14:paraId="53C3C905">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2906" w:type="dxa"/>
          </w:tcPr>
          <w:p w14:paraId="5C9504B5">
            <w:pPr>
              <w:widowControl/>
              <w:jc w:val="center"/>
              <w:rPr>
                <w:rFonts w:hint="eastAsia" w:hAnsi="仿宋_GB2312" w:cs="仿宋_GB2312"/>
                <w:b w:val="0"/>
                <w:bCs w:val="0"/>
                <w:sz w:val="24"/>
              </w:rPr>
            </w:pPr>
            <w:r>
              <w:rPr>
                <w:rFonts w:hint="eastAsia" w:hAnsi="仿宋_GB2312" w:cs="仿宋_GB2312"/>
                <w:b/>
                <w:bCs/>
                <w:sz w:val="24"/>
              </w:rPr>
              <w:t>202</w:t>
            </w:r>
            <w:r>
              <w:rPr>
                <w:rFonts w:hint="eastAsia" w:hAnsi="仿宋_GB2312" w:cs="仿宋_GB2312"/>
                <w:b/>
                <w:bCs/>
                <w:sz w:val="24"/>
                <w:lang w:val="en-US" w:eastAsia="zh-CN"/>
              </w:rPr>
              <w:t>5</w:t>
            </w:r>
            <w:r>
              <w:rPr>
                <w:rFonts w:hint="eastAsia" w:hAnsi="仿宋_GB2312" w:cs="仿宋_GB2312"/>
                <w:b/>
                <w:bCs/>
                <w:sz w:val="24"/>
              </w:rPr>
              <w:t>年</w:t>
            </w:r>
          </w:p>
        </w:tc>
        <w:tc>
          <w:tcPr>
            <w:tcW w:w="2907" w:type="dxa"/>
            <w:shd w:val="clear" w:color="auto" w:fill="DEEAF6" w:themeFill="accent5" w:themeFillTint="33"/>
          </w:tcPr>
          <w:p w14:paraId="5BE27CCD">
            <w:pPr>
              <w:widowControl/>
              <w:jc w:val="center"/>
              <w:rPr>
                <w:rFonts w:hint="default" w:hAnsi="仿宋_GB2312" w:eastAsia="仿宋_GB2312" w:cs="仿宋_GB2312"/>
                <w:sz w:val="24"/>
                <w:lang w:val="en-US" w:eastAsia="zh-CN"/>
              </w:rPr>
            </w:pPr>
            <w:r>
              <w:rPr>
                <w:rFonts w:hint="eastAsia" w:hAnsi="仿宋_GB2312" w:cs="仿宋_GB2312"/>
                <w:sz w:val="24"/>
                <w:lang w:val="en-US" w:eastAsia="zh-CN"/>
              </w:rPr>
              <w:t>3153</w:t>
            </w:r>
          </w:p>
        </w:tc>
        <w:tc>
          <w:tcPr>
            <w:tcW w:w="2907" w:type="dxa"/>
          </w:tcPr>
          <w:p w14:paraId="1ADAB7A4">
            <w:pPr>
              <w:widowControl/>
              <w:jc w:val="center"/>
              <w:rPr>
                <w:rFonts w:hint="default" w:hAnsi="仿宋_GB2312" w:eastAsia="仿宋_GB2312" w:cs="仿宋_GB2312"/>
                <w:sz w:val="24"/>
                <w:lang w:val="en-US" w:eastAsia="zh-CN"/>
              </w:rPr>
            </w:pPr>
            <w:r>
              <w:rPr>
                <w:rFonts w:hint="eastAsia" w:hAnsi="仿宋_GB2312" w:cs="仿宋_GB2312"/>
                <w:sz w:val="24"/>
                <w:lang w:val="en-US" w:eastAsia="zh-CN"/>
              </w:rPr>
              <w:t>1217</w:t>
            </w:r>
          </w:p>
        </w:tc>
      </w:tr>
    </w:tbl>
    <w:p w14:paraId="1903B8BC">
      <w:pPr>
        <w:pStyle w:val="3"/>
        <w:ind w:left="0" w:leftChars="0" w:firstLine="643" w:firstLineChars="200"/>
        <w:rPr>
          <w:rFonts w:hint="eastAsia"/>
        </w:rPr>
      </w:pPr>
      <w:bookmarkStart w:id="3" w:name="_Toc187608095"/>
      <w:r>
        <w:rPr>
          <w:rFonts w:hint="eastAsia"/>
        </w:rPr>
        <w:t>1.2设施设备</w:t>
      </w:r>
      <w:bookmarkEnd w:id="3"/>
    </w:p>
    <w:p w14:paraId="3ED2B7B3">
      <w:pPr>
        <w:widowControl/>
        <w:ind w:firstLine="640" w:firstLineChars="200"/>
        <w:rPr>
          <w:rFonts w:hint="eastAsia" w:hAnsi="仿宋_GB2312" w:cs="仿宋_GB2312"/>
          <w:szCs w:val="32"/>
        </w:rPr>
      </w:pPr>
      <w:r>
        <w:rPr>
          <w:rFonts w:hint="eastAsia" w:hAnsi="仿宋_GB2312" w:cs="仿宋_GB2312"/>
          <w:szCs w:val="32"/>
        </w:rPr>
        <w:t>本年度，学校持续优化资源配置，改善办学条件。截至202</w:t>
      </w:r>
      <w:r>
        <w:rPr>
          <w:rFonts w:hint="eastAsia" w:hAnsi="仿宋_GB2312" w:cs="仿宋_GB2312"/>
          <w:szCs w:val="32"/>
          <w:lang w:val="en-US" w:eastAsia="zh-CN"/>
        </w:rPr>
        <w:t>5</w:t>
      </w:r>
      <w:r>
        <w:rPr>
          <w:rFonts w:hint="eastAsia" w:hAnsi="仿宋_GB2312" w:cs="仿宋_GB2312"/>
          <w:szCs w:val="32"/>
        </w:rPr>
        <w:t>年底，学校校园占地面积1.45万平方米，校舍建筑面积7.</w:t>
      </w:r>
      <w:r>
        <w:rPr>
          <w:rFonts w:hint="eastAsia" w:hAnsi="仿宋_GB2312" w:cs="仿宋_GB2312"/>
          <w:szCs w:val="32"/>
          <w:lang w:val="en-US" w:eastAsia="zh-CN"/>
        </w:rPr>
        <w:t>81</w:t>
      </w:r>
      <w:r>
        <w:rPr>
          <w:rFonts w:hint="eastAsia" w:hAnsi="仿宋_GB2312" w:cs="仿宋_GB2312"/>
          <w:szCs w:val="32"/>
        </w:rPr>
        <w:t>万平方米，生均用地面积</w:t>
      </w:r>
      <w:r>
        <w:rPr>
          <w:rFonts w:hint="eastAsia" w:hAnsi="仿宋_GB2312" w:cs="仿宋_GB2312"/>
          <w:szCs w:val="32"/>
          <w:lang w:val="en-US" w:eastAsia="zh-CN"/>
        </w:rPr>
        <w:t>46.11</w:t>
      </w:r>
      <w:r>
        <w:rPr>
          <w:rFonts w:hint="eastAsia" w:hAnsi="仿宋_GB2312" w:cs="仿宋_GB2312"/>
          <w:szCs w:val="32"/>
        </w:rPr>
        <w:t>平方米，生均校舍建筑面积</w:t>
      </w:r>
      <w:r>
        <w:rPr>
          <w:rFonts w:hint="eastAsia" w:hAnsi="仿宋_GB2312" w:cs="仿宋_GB2312"/>
          <w:szCs w:val="32"/>
          <w:lang w:val="en-US" w:eastAsia="zh-CN"/>
        </w:rPr>
        <w:t>24.78</w:t>
      </w:r>
      <w:r>
        <w:rPr>
          <w:rFonts w:hint="eastAsia" w:hAnsi="仿宋_GB2312" w:cs="仿宋_GB2312"/>
          <w:szCs w:val="32"/>
        </w:rPr>
        <w:t>平方米，二期建设工程稳步推进；教学仪器设备总值</w:t>
      </w:r>
      <w:r>
        <w:rPr>
          <w:rFonts w:hint="eastAsia" w:hAnsi="仿宋_GB2312" w:cs="仿宋_GB2312"/>
          <w:szCs w:val="32"/>
          <w:lang w:val="en-US" w:eastAsia="zh-CN"/>
        </w:rPr>
        <w:t>2426.41</w:t>
      </w:r>
      <w:r>
        <w:rPr>
          <w:rFonts w:hint="eastAsia" w:hAnsi="仿宋_GB2312" w:cs="仿宋_GB2312"/>
          <w:szCs w:val="32"/>
        </w:rPr>
        <w:t>万元，生均教学、实习仪器设备资产值</w:t>
      </w:r>
      <w:r>
        <w:rPr>
          <w:rFonts w:hint="eastAsia" w:hAnsi="仿宋_GB2312" w:cs="仿宋_GB2312"/>
          <w:szCs w:val="32"/>
          <w:lang w:val="en-US" w:eastAsia="zh-CN"/>
        </w:rPr>
        <w:t>7695</w:t>
      </w:r>
      <w:r>
        <w:rPr>
          <w:rFonts w:hint="eastAsia" w:hAnsi="仿宋_GB2312" w:cs="仿宋_GB2312"/>
          <w:szCs w:val="32"/>
        </w:rPr>
        <w:t>元；纸质图书万98855册，生均</w:t>
      </w:r>
      <w:r>
        <w:rPr>
          <w:rFonts w:hint="eastAsia" w:hAnsi="仿宋_GB2312" w:cs="仿宋_GB2312"/>
          <w:szCs w:val="32"/>
          <w:lang w:val="en-US" w:eastAsia="zh-CN"/>
        </w:rPr>
        <w:t>31.5</w:t>
      </w:r>
      <w:r>
        <w:rPr>
          <w:rFonts w:hint="eastAsia" w:hAnsi="仿宋_GB2312" w:cs="仿宋_GB2312"/>
          <w:szCs w:val="32"/>
        </w:rPr>
        <w:t>册，电子图书资源460册。</w:t>
      </w:r>
    </w:p>
    <w:p w14:paraId="34DE18BB">
      <w:pPr>
        <w:widowControl/>
        <w:ind w:firstLine="640" w:firstLineChars="200"/>
        <w:rPr>
          <w:rFonts w:hint="eastAsia" w:hAnsi="仿宋_GB2312" w:cs="仿宋_GB2312"/>
          <w:szCs w:val="32"/>
        </w:rPr>
      </w:pPr>
      <w:r>
        <w:rPr>
          <w:rFonts w:hint="eastAsia" w:hAnsi="仿宋_GB2312" w:cs="仿宋_GB2312"/>
          <w:szCs w:val="32"/>
        </w:rPr>
        <w:t>在学校</w:t>
      </w:r>
      <w:r>
        <w:rPr>
          <w:rFonts w:hint="eastAsia" w:hAnsi="仿宋_GB2312" w:cs="仿宋_GB2312"/>
          <w:szCs w:val="32"/>
          <w:lang w:eastAsia="zh-CN"/>
        </w:rPr>
        <w:t>党委</w:t>
      </w:r>
      <w:r>
        <w:rPr>
          <w:rFonts w:hint="eastAsia" w:hAnsi="仿宋_GB2312" w:cs="仿宋_GB2312"/>
          <w:szCs w:val="32"/>
        </w:rPr>
        <w:t>统筹谋划下，新校区</w:t>
      </w:r>
      <w:r>
        <w:rPr>
          <w:rFonts w:hint="eastAsia" w:hAnsi="仿宋_GB2312" w:cs="仿宋_GB2312"/>
          <w:szCs w:val="32"/>
          <w:lang w:val="en-US" w:eastAsia="zh-CN"/>
        </w:rPr>
        <w:t>图书阅览室</w:t>
      </w:r>
      <w:r>
        <w:rPr>
          <w:rFonts w:hint="eastAsia" w:hAnsi="仿宋_GB2312" w:cs="仿宋_GB2312"/>
          <w:szCs w:val="32"/>
        </w:rPr>
        <w:t>、</w:t>
      </w:r>
      <w:r>
        <w:rPr>
          <w:rFonts w:hint="eastAsia" w:hAnsi="仿宋_GB2312" w:cs="仿宋_GB2312"/>
          <w:szCs w:val="32"/>
          <w:lang w:val="en-US" w:eastAsia="zh-CN"/>
        </w:rPr>
        <w:t>信息技术教室、智慧教室、11号宿舍楼、电子云班牌</w:t>
      </w:r>
      <w:r>
        <w:rPr>
          <w:rFonts w:hint="eastAsia" w:hAnsi="仿宋_GB2312" w:cs="仿宋_GB2312"/>
          <w:szCs w:val="32"/>
        </w:rPr>
        <w:t>等一批基础设施项目相继建成并投入使用，提速网络信号，改版官方网站，完善智慧校园功能，教育教学环境设施不断改善。</w:t>
      </w:r>
    </w:p>
    <w:p w14:paraId="47679B72">
      <w:pPr>
        <w:pStyle w:val="3"/>
        <w:ind w:left="640"/>
        <w:rPr>
          <w:rFonts w:hint="eastAsia"/>
        </w:rPr>
      </w:pPr>
      <w:bookmarkStart w:id="4" w:name="_Toc187608096"/>
      <w:r>
        <w:rPr>
          <w:rFonts w:hint="eastAsia"/>
        </w:rPr>
        <w:t>1.3教师队伍</w:t>
      </w:r>
      <w:bookmarkEnd w:id="4"/>
    </w:p>
    <w:p w14:paraId="6CC33243">
      <w:pPr>
        <w:widowControl/>
        <w:ind w:firstLine="640" w:firstLineChars="200"/>
        <w:rPr>
          <w:rFonts w:hint="eastAsia" w:hAnsi="仿宋_GB2312" w:cs="仿宋_GB2312"/>
          <w:szCs w:val="32"/>
        </w:rPr>
      </w:pPr>
      <w:r>
        <w:rPr>
          <w:rFonts w:hint="eastAsia" w:hAnsi="仿宋_GB2312" w:cs="仿宋_GB2312"/>
          <w:szCs w:val="32"/>
        </w:rPr>
        <w:t>本年度，学校继续通过绩效工资改革、自主招聘、专题培训等方式，打造结构合理、师德高尚、业务精湛、作风过硬、具有创新精神和发展意识的新时代教师队伍。</w:t>
      </w:r>
      <w:r>
        <w:rPr>
          <w:rFonts w:hint="eastAsia" w:hAnsi="仿宋_GB2312" w:cs="仿宋_GB2312"/>
          <w:szCs w:val="32"/>
          <w:highlight w:val="none"/>
        </w:rPr>
        <w:t>截至202</w:t>
      </w:r>
      <w:r>
        <w:rPr>
          <w:rFonts w:hint="eastAsia" w:hAnsi="仿宋_GB2312" w:cs="仿宋_GB2312"/>
          <w:szCs w:val="32"/>
          <w:highlight w:val="none"/>
          <w:lang w:val="en-US" w:eastAsia="zh-CN"/>
        </w:rPr>
        <w:t>5</w:t>
      </w:r>
      <w:r>
        <w:rPr>
          <w:rFonts w:hint="eastAsia" w:hAnsi="仿宋_GB2312" w:cs="仿宋_GB2312"/>
          <w:szCs w:val="32"/>
          <w:highlight w:val="none"/>
        </w:rPr>
        <w:t>年底，学校共有教职工</w:t>
      </w:r>
      <w:r>
        <w:rPr>
          <w:rFonts w:hint="eastAsia" w:hAnsi="仿宋_GB2312" w:cs="仿宋_GB2312"/>
          <w:szCs w:val="32"/>
          <w:highlight w:val="none"/>
          <w:lang w:val="en-US" w:eastAsia="zh-CN"/>
        </w:rPr>
        <w:t>212</w:t>
      </w:r>
      <w:r>
        <w:rPr>
          <w:rFonts w:hint="eastAsia" w:hAnsi="仿宋_GB2312" w:cs="仿宋_GB2312"/>
          <w:szCs w:val="32"/>
          <w:highlight w:val="none"/>
        </w:rPr>
        <w:t>人，额定编制数</w:t>
      </w:r>
      <w:r>
        <w:rPr>
          <w:rFonts w:hint="eastAsia" w:hAnsi="仿宋_GB2312" w:cs="仿宋_GB2312"/>
          <w:szCs w:val="32"/>
          <w:highlight w:val="none"/>
          <w:lang w:val="en-US" w:eastAsia="zh-CN"/>
        </w:rPr>
        <w:t>124</w:t>
      </w:r>
      <w:r>
        <w:rPr>
          <w:rFonts w:hint="eastAsia" w:hAnsi="仿宋_GB2312" w:cs="仿宋_GB2312"/>
          <w:szCs w:val="32"/>
          <w:highlight w:val="none"/>
        </w:rPr>
        <w:t>人，外聘教师</w:t>
      </w:r>
      <w:r>
        <w:rPr>
          <w:rFonts w:hint="eastAsia" w:hAnsi="仿宋_GB2312" w:cs="仿宋_GB2312"/>
          <w:szCs w:val="32"/>
          <w:highlight w:val="none"/>
          <w:lang w:val="en-US" w:eastAsia="zh-CN"/>
        </w:rPr>
        <w:t>90</w:t>
      </w:r>
      <w:r>
        <w:rPr>
          <w:rFonts w:hint="eastAsia" w:hAnsi="仿宋_GB2312" w:cs="仿宋_GB2312"/>
          <w:szCs w:val="32"/>
          <w:highlight w:val="none"/>
        </w:rPr>
        <w:t>人，专任教师</w:t>
      </w:r>
      <w:r>
        <w:rPr>
          <w:rFonts w:hint="eastAsia" w:hAnsi="仿宋_GB2312" w:cs="仿宋_GB2312"/>
          <w:szCs w:val="32"/>
          <w:highlight w:val="none"/>
          <w:lang w:val="en-US" w:eastAsia="zh-CN"/>
        </w:rPr>
        <w:t>192</w:t>
      </w:r>
      <w:r>
        <w:rPr>
          <w:rFonts w:hint="eastAsia" w:hAnsi="仿宋_GB2312" w:cs="仿宋_GB2312"/>
          <w:szCs w:val="32"/>
          <w:highlight w:val="none"/>
        </w:rPr>
        <w:t>人，生师比为</w:t>
      </w:r>
      <w:r>
        <w:rPr>
          <w:rFonts w:hint="eastAsia" w:hAnsi="仿宋_GB2312" w:cs="仿宋_GB2312"/>
          <w:szCs w:val="32"/>
          <w:highlight w:val="none"/>
          <w:lang w:val="en-US" w:eastAsia="zh-CN"/>
        </w:rPr>
        <w:t>15.57</w:t>
      </w:r>
      <w:r>
        <w:rPr>
          <w:rFonts w:hint="eastAsia" w:hAnsi="仿宋_GB2312" w:cs="仿宋_GB2312"/>
          <w:szCs w:val="32"/>
          <w:highlight w:val="none"/>
        </w:rPr>
        <w:t>:1。“双师型”教师占比</w:t>
      </w:r>
      <w:r>
        <w:rPr>
          <w:rFonts w:hint="eastAsia" w:hAnsi="仿宋_GB2312" w:cs="仿宋_GB2312"/>
          <w:szCs w:val="32"/>
          <w:highlight w:val="none"/>
          <w:lang w:val="en-US" w:eastAsia="zh-CN"/>
        </w:rPr>
        <w:t>24.76</w:t>
      </w:r>
      <w:r>
        <w:rPr>
          <w:rFonts w:hint="eastAsia" w:hAnsi="仿宋_GB2312" w:cs="仿宋_GB2312"/>
          <w:szCs w:val="32"/>
          <w:highlight w:val="none"/>
        </w:rPr>
        <w:t>%，其中高级“双师型”教师占比3%。</w:t>
      </w:r>
      <w:r>
        <w:rPr>
          <w:rFonts w:hint="eastAsia" w:hAnsi="仿宋_GB2312" w:cs="仿宋_GB2312"/>
          <w:szCs w:val="32"/>
        </w:rPr>
        <w:t>学校共有班主任</w:t>
      </w:r>
      <w:r>
        <w:rPr>
          <w:rFonts w:hint="eastAsia" w:hAnsi="仿宋_GB2312" w:cs="仿宋_GB2312"/>
          <w:szCs w:val="32"/>
          <w:lang w:val="en-US" w:eastAsia="zh-CN"/>
        </w:rPr>
        <w:t>72</w:t>
      </w:r>
      <w:r>
        <w:rPr>
          <w:rFonts w:hint="eastAsia" w:hAnsi="仿宋_GB2312" w:cs="仿宋_GB2312"/>
          <w:szCs w:val="32"/>
        </w:rPr>
        <w:t>人，思政课教师</w:t>
      </w:r>
      <w:r>
        <w:rPr>
          <w:rFonts w:hint="eastAsia" w:hAnsi="仿宋_GB2312" w:cs="仿宋_GB2312"/>
          <w:szCs w:val="32"/>
          <w:lang w:val="en-US" w:eastAsia="zh-CN"/>
        </w:rPr>
        <w:t>19</w:t>
      </w:r>
      <w:r>
        <w:rPr>
          <w:rFonts w:hint="eastAsia" w:hAnsi="仿宋_GB2312" w:cs="仿宋_GB2312"/>
          <w:szCs w:val="32"/>
        </w:rPr>
        <w:t>人，体育课专任教师5人，美育课专任教师12人（详见表1-3）。</w:t>
      </w:r>
    </w:p>
    <w:p w14:paraId="176C29FB">
      <w:pPr>
        <w:widowControl/>
        <w:jc w:val="center"/>
        <w:rPr>
          <w:rFonts w:hint="eastAsia" w:hAnsi="仿宋_GB2312" w:cs="仿宋_GB2312"/>
          <w:b/>
          <w:bCs/>
          <w:sz w:val="24"/>
        </w:rPr>
      </w:pPr>
      <w:r>
        <w:rPr>
          <w:rFonts w:hint="eastAsia" w:hAnsi="仿宋_GB2312" w:cs="仿宋_GB2312"/>
          <w:b/>
          <w:bCs/>
          <w:sz w:val="24"/>
        </w:rPr>
        <w:t>表1-3  临沂艺术学校教师队伍情况统计表</w:t>
      </w:r>
    </w:p>
    <w:tbl>
      <w:tblPr>
        <w:tblStyle w:val="35"/>
        <w:tblW w:w="0" w:type="auto"/>
        <w:tblInd w:w="0" w:type="dxa"/>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Layout w:type="autofit"/>
        <w:tblCellMar>
          <w:top w:w="0" w:type="dxa"/>
          <w:left w:w="108" w:type="dxa"/>
          <w:bottom w:w="0" w:type="dxa"/>
          <w:right w:w="108" w:type="dxa"/>
        </w:tblCellMar>
      </w:tblPr>
      <w:tblGrid>
        <w:gridCol w:w="846"/>
        <w:gridCol w:w="3118"/>
        <w:gridCol w:w="1404"/>
        <w:gridCol w:w="1676"/>
        <w:gridCol w:w="1676"/>
      </w:tblGrid>
      <w:tr w14:paraId="36AAC9DB">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rPr>
          <w:tblHeader/>
        </w:trPr>
        <w:tc>
          <w:tcPr>
            <w:tcW w:w="846" w:type="dxa"/>
            <w:tcBorders>
              <w:top w:val="single" w:color="5B9BD5" w:themeColor="accent5" w:sz="4" w:space="0"/>
              <w:left w:val="single" w:color="5B9BD5" w:themeColor="accent5" w:sz="4" w:space="0"/>
              <w:bottom w:val="single" w:color="5B9BD5" w:themeColor="accent5" w:sz="4" w:space="0"/>
              <w:right w:val="nil"/>
              <w:insideH w:val="single" w:sz="4" w:space="0"/>
              <w:insideV w:val="nil"/>
            </w:tcBorders>
            <w:shd w:val="clear" w:color="auto" w:fill="5B9BD5" w:themeFill="accent5"/>
          </w:tcPr>
          <w:p w14:paraId="2B933C8E">
            <w:pPr>
              <w:widowControl/>
              <w:jc w:val="center"/>
              <w:rPr>
                <w:rFonts w:hint="eastAsia" w:hAnsi="仿宋_GB2312" w:cs="仿宋_GB2312"/>
                <w:b w:val="0"/>
                <w:bCs w:val="0"/>
                <w:color w:val="FFFFFF" w:themeColor="background1"/>
                <w:sz w:val="24"/>
                <w14:textFill>
                  <w14:solidFill>
                    <w14:schemeClr w14:val="bg1"/>
                  </w14:solidFill>
                </w14:textFill>
              </w:rPr>
            </w:pPr>
            <w:r>
              <w:rPr>
                <w:rFonts w:hint="eastAsia" w:hAnsi="仿宋_GB2312" w:cs="仿宋_GB2312"/>
                <w:b/>
                <w:bCs/>
                <w:color w:val="FFFFFF" w:themeColor="background1"/>
                <w:sz w:val="24"/>
                <w14:textFill>
                  <w14:solidFill>
                    <w14:schemeClr w14:val="bg1"/>
                  </w14:solidFill>
                </w14:textFill>
              </w:rPr>
              <w:t>序号</w:t>
            </w:r>
          </w:p>
        </w:tc>
        <w:tc>
          <w:tcPr>
            <w:tcW w:w="3118" w:type="dxa"/>
            <w:tcBorders>
              <w:top w:val="single" w:color="5B9BD5" w:themeColor="accent5" w:sz="4" w:space="0"/>
              <w:bottom w:val="single" w:color="5B9BD5" w:themeColor="accent5" w:sz="4" w:space="0"/>
              <w:right w:val="nil"/>
              <w:insideH w:val="single" w:sz="4" w:space="0"/>
              <w:insideV w:val="nil"/>
            </w:tcBorders>
            <w:shd w:val="clear" w:color="auto" w:fill="5B9BD5" w:themeFill="accent5"/>
          </w:tcPr>
          <w:p w14:paraId="4A86DA2B">
            <w:pPr>
              <w:widowControl/>
              <w:jc w:val="center"/>
              <w:rPr>
                <w:rFonts w:hint="eastAsia" w:hAnsi="仿宋_GB2312" w:cs="仿宋_GB2312"/>
                <w:b w:val="0"/>
                <w:bCs w:val="0"/>
                <w:color w:val="FFFFFF" w:themeColor="background1"/>
                <w:sz w:val="24"/>
                <w14:textFill>
                  <w14:solidFill>
                    <w14:schemeClr w14:val="bg1"/>
                  </w14:solidFill>
                </w14:textFill>
              </w:rPr>
            </w:pPr>
            <w:r>
              <w:rPr>
                <w:rFonts w:hint="eastAsia" w:hAnsi="仿宋_GB2312" w:cs="仿宋_GB2312"/>
                <w:b/>
                <w:bCs/>
                <w:color w:val="FFFFFF" w:themeColor="background1"/>
                <w:sz w:val="24"/>
                <w14:textFill>
                  <w14:solidFill>
                    <w14:schemeClr w14:val="bg1"/>
                  </w14:solidFill>
                </w14:textFill>
              </w:rPr>
              <w:t>指标名称</w:t>
            </w:r>
          </w:p>
        </w:tc>
        <w:tc>
          <w:tcPr>
            <w:tcW w:w="1404" w:type="dxa"/>
            <w:tcBorders>
              <w:top w:val="single" w:color="5B9BD5" w:themeColor="accent5" w:sz="4" w:space="0"/>
              <w:bottom w:val="single" w:color="5B9BD5" w:themeColor="accent5" w:sz="4" w:space="0"/>
              <w:right w:val="nil"/>
              <w:insideH w:val="single" w:sz="4" w:space="0"/>
              <w:insideV w:val="nil"/>
            </w:tcBorders>
            <w:shd w:val="clear" w:color="auto" w:fill="5B9BD5" w:themeFill="accent5"/>
          </w:tcPr>
          <w:p w14:paraId="326C8182">
            <w:pPr>
              <w:widowControl/>
              <w:jc w:val="center"/>
              <w:rPr>
                <w:rFonts w:hint="eastAsia" w:hAnsi="仿宋_GB2312" w:cs="仿宋_GB2312"/>
                <w:b w:val="0"/>
                <w:bCs w:val="0"/>
                <w:color w:val="FFFFFF" w:themeColor="background1"/>
                <w:sz w:val="24"/>
                <w14:textFill>
                  <w14:solidFill>
                    <w14:schemeClr w14:val="bg1"/>
                  </w14:solidFill>
                </w14:textFill>
              </w:rPr>
            </w:pPr>
            <w:r>
              <w:rPr>
                <w:rFonts w:hint="eastAsia" w:hAnsi="仿宋_GB2312" w:cs="仿宋_GB2312"/>
                <w:b/>
                <w:bCs/>
                <w:color w:val="FFFFFF" w:themeColor="background1"/>
                <w:sz w:val="24"/>
                <w14:textFill>
                  <w14:solidFill>
                    <w14:schemeClr w14:val="bg1"/>
                  </w14:solidFill>
                </w14:textFill>
              </w:rPr>
              <w:t>单位</w:t>
            </w:r>
          </w:p>
        </w:tc>
        <w:tc>
          <w:tcPr>
            <w:tcW w:w="1676" w:type="dxa"/>
            <w:tcBorders>
              <w:top w:val="single" w:color="5B9BD5" w:themeColor="accent5" w:sz="4" w:space="0"/>
              <w:bottom w:val="single" w:color="5B9BD5" w:themeColor="accent5" w:sz="4" w:space="0"/>
              <w:right w:val="nil"/>
              <w:insideH w:val="single" w:sz="4" w:space="0"/>
              <w:insideV w:val="nil"/>
            </w:tcBorders>
            <w:shd w:val="clear" w:color="auto" w:fill="5B9BD5" w:themeFill="accent5"/>
          </w:tcPr>
          <w:p w14:paraId="07B1228F">
            <w:pPr>
              <w:widowControl/>
              <w:jc w:val="center"/>
              <w:rPr>
                <w:rFonts w:hint="eastAsia" w:hAnsi="仿宋_GB2312" w:cs="仿宋_GB2312"/>
                <w:b w:val="0"/>
                <w:bCs w:val="0"/>
                <w:color w:val="FFFFFF" w:themeColor="background1"/>
                <w:sz w:val="24"/>
                <w14:textFill>
                  <w14:solidFill>
                    <w14:schemeClr w14:val="bg1"/>
                  </w14:solidFill>
                </w14:textFill>
              </w:rPr>
            </w:pPr>
            <w:r>
              <w:rPr>
                <w:rFonts w:hint="eastAsia" w:hAnsi="仿宋_GB2312" w:cs="仿宋_GB2312"/>
                <w:b/>
                <w:bCs/>
                <w:color w:val="FFFFFF" w:themeColor="background1"/>
                <w:sz w:val="24"/>
                <w14:textFill>
                  <w14:solidFill>
                    <w14:schemeClr w14:val="bg1"/>
                  </w14:solidFill>
                </w14:textFill>
              </w:rPr>
              <w:t>202</w:t>
            </w:r>
            <w:r>
              <w:rPr>
                <w:rFonts w:hint="eastAsia" w:hAnsi="仿宋_GB2312" w:cs="仿宋_GB2312"/>
                <w:b/>
                <w:bCs/>
                <w:color w:val="FFFFFF" w:themeColor="background1"/>
                <w:sz w:val="24"/>
                <w:lang w:val="en-US" w:eastAsia="zh-CN"/>
                <w14:textFill>
                  <w14:solidFill>
                    <w14:schemeClr w14:val="bg1"/>
                  </w14:solidFill>
                </w14:textFill>
              </w:rPr>
              <w:t>4</w:t>
            </w:r>
            <w:r>
              <w:rPr>
                <w:rFonts w:hint="eastAsia" w:hAnsi="仿宋_GB2312" w:cs="仿宋_GB2312"/>
                <w:b/>
                <w:bCs/>
                <w:color w:val="FFFFFF" w:themeColor="background1"/>
                <w:sz w:val="24"/>
                <w14:textFill>
                  <w14:solidFill>
                    <w14:schemeClr w14:val="bg1"/>
                  </w14:solidFill>
                </w14:textFill>
              </w:rPr>
              <w:t>年</w:t>
            </w:r>
          </w:p>
        </w:tc>
        <w:tc>
          <w:tcPr>
            <w:tcW w:w="1676" w:type="dxa"/>
            <w:tcBorders>
              <w:top w:val="single" w:color="5B9BD5" w:themeColor="accent5" w:sz="4" w:space="0"/>
              <w:bottom w:val="single" w:color="5B9BD5" w:themeColor="accent5" w:sz="4" w:space="0"/>
              <w:right w:val="single" w:color="5B9BD5" w:themeColor="accent5" w:sz="4" w:space="0"/>
              <w:insideH w:val="single" w:sz="4" w:space="0"/>
              <w:insideV w:val="nil"/>
            </w:tcBorders>
            <w:shd w:val="clear" w:color="auto" w:fill="5B9BD5" w:themeFill="accent5"/>
          </w:tcPr>
          <w:p w14:paraId="3187829F">
            <w:pPr>
              <w:widowControl/>
              <w:jc w:val="center"/>
              <w:rPr>
                <w:rFonts w:hint="eastAsia" w:hAnsi="仿宋_GB2312" w:cs="仿宋_GB2312"/>
                <w:b w:val="0"/>
                <w:bCs w:val="0"/>
                <w:color w:val="FFFFFF" w:themeColor="background1"/>
                <w:sz w:val="24"/>
                <w14:textFill>
                  <w14:solidFill>
                    <w14:schemeClr w14:val="bg1"/>
                  </w14:solidFill>
                </w14:textFill>
              </w:rPr>
            </w:pPr>
            <w:r>
              <w:rPr>
                <w:rFonts w:hint="eastAsia" w:hAnsi="仿宋_GB2312" w:cs="仿宋_GB2312"/>
                <w:b/>
                <w:bCs/>
                <w:color w:val="FFFFFF" w:themeColor="background1"/>
                <w:sz w:val="24"/>
                <w14:textFill>
                  <w14:solidFill>
                    <w14:schemeClr w14:val="bg1"/>
                  </w14:solidFill>
                </w14:textFill>
              </w:rPr>
              <w:t>202</w:t>
            </w:r>
            <w:r>
              <w:rPr>
                <w:rFonts w:hint="eastAsia" w:hAnsi="仿宋_GB2312" w:cs="仿宋_GB2312"/>
                <w:b/>
                <w:bCs/>
                <w:color w:val="FFFFFF" w:themeColor="background1"/>
                <w:sz w:val="24"/>
                <w:lang w:val="en-US" w:eastAsia="zh-CN"/>
                <w14:textFill>
                  <w14:solidFill>
                    <w14:schemeClr w14:val="bg1"/>
                  </w14:solidFill>
                </w14:textFill>
              </w:rPr>
              <w:t>5</w:t>
            </w:r>
            <w:r>
              <w:rPr>
                <w:rFonts w:hint="eastAsia" w:hAnsi="仿宋_GB2312" w:cs="仿宋_GB2312"/>
                <w:b/>
                <w:bCs/>
                <w:color w:val="FFFFFF" w:themeColor="background1"/>
                <w:sz w:val="24"/>
                <w14:textFill>
                  <w14:solidFill>
                    <w14:schemeClr w14:val="bg1"/>
                  </w14:solidFill>
                </w14:textFill>
              </w:rPr>
              <w:t>年</w:t>
            </w:r>
          </w:p>
        </w:tc>
      </w:tr>
      <w:tr w14:paraId="0A8A88C9">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846" w:type="dxa"/>
          </w:tcPr>
          <w:p w14:paraId="510EA3F5">
            <w:pPr>
              <w:widowControl/>
              <w:jc w:val="center"/>
              <w:rPr>
                <w:rFonts w:hint="eastAsia" w:hAnsi="仿宋_GB2312" w:cs="仿宋_GB2312"/>
                <w:b w:val="0"/>
                <w:bCs w:val="0"/>
                <w:sz w:val="24"/>
              </w:rPr>
            </w:pPr>
            <w:r>
              <w:rPr>
                <w:rFonts w:hint="eastAsia" w:hAnsi="仿宋_GB2312" w:cs="仿宋_GB2312"/>
                <w:b/>
                <w:bCs/>
                <w:sz w:val="24"/>
              </w:rPr>
              <w:t>1</w:t>
            </w:r>
          </w:p>
        </w:tc>
        <w:tc>
          <w:tcPr>
            <w:tcW w:w="3118" w:type="dxa"/>
            <w:shd w:val="clear" w:color="auto" w:fill="DEEAF6" w:themeFill="accent5" w:themeFillTint="33"/>
          </w:tcPr>
          <w:p w14:paraId="39B4E032">
            <w:pPr>
              <w:widowControl/>
              <w:jc w:val="center"/>
              <w:rPr>
                <w:rFonts w:hint="eastAsia" w:hAnsi="仿宋_GB2312" w:cs="仿宋_GB2312"/>
                <w:sz w:val="24"/>
              </w:rPr>
            </w:pPr>
            <w:r>
              <w:rPr>
                <w:rFonts w:hint="eastAsia" w:hAnsi="仿宋_GB2312" w:cs="仿宋_GB2312"/>
                <w:sz w:val="24"/>
              </w:rPr>
              <w:t>教职员工总数</w:t>
            </w:r>
          </w:p>
        </w:tc>
        <w:tc>
          <w:tcPr>
            <w:tcW w:w="1404" w:type="dxa"/>
          </w:tcPr>
          <w:p w14:paraId="6B09B11B">
            <w:pPr>
              <w:widowControl/>
              <w:jc w:val="center"/>
              <w:rPr>
                <w:rFonts w:hint="eastAsia" w:hAnsi="仿宋_GB2312" w:cs="仿宋_GB2312"/>
                <w:sz w:val="24"/>
              </w:rPr>
            </w:pPr>
            <w:r>
              <w:rPr>
                <w:rFonts w:hint="eastAsia" w:hAnsi="仿宋_GB2312" w:cs="仿宋_GB2312"/>
                <w:sz w:val="24"/>
              </w:rPr>
              <w:t>人</w:t>
            </w:r>
          </w:p>
        </w:tc>
        <w:tc>
          <w:tcPr>
            <w:tcW w:w="1676" w:type="dxa"/>
            <w:shd w:val="clear" w:color="auto" w:fill="DEEAF6" w:themeFill="accent5" w:themeFillTint="33"/>
            <w:vAlign w:val="top"/>
          </w:tcPr>
          <w:p w14:paraId="6DDC5BEE">
            <w:pPr>
              <w:widowControl/>
              <w:jc w:val="center"/>
              <w:rPr>
                <w:rFonts w:hint="eastAsia" w:hAnsi="仿宋_GB2312" w:cs="仿宋_GB2312"/>
                <w:sz w:val="24"/>
              </w:rPr>
            </w:pPr>
            <w:r>
              <w:rPr>
                <w:rFonts w:hint="eastAsia" w:hAnsi="仿宋_GB2312" w:cs="仿宋_GB2312"/>
                <w:sz w:val="24"/>
              </w:rPr>
              <w:t>234</w:t>
            </w:r>
          </w:p>
        </w:tc>
        <w:tc>
          <w:tcPr>
            <w:tcW w:w="1676" w:type="dxa"/>
          </w:tcPr>
          <w:p w14:paraId="39BFB4DE">
            <w:pPr>
              <w:widowControl/>
              <w:jc w:val="center"/>
              <w:rPr>
                <w:rFonts w:hint="default" w:hAnsi="仿宋_GB2312" w:eastAsia="仿宋_GB2312" w:cs="仿宋_GB2312"/>
                <w:sz w:val="24"/>
                <w:highlight w:val="none"/>
                <w:lang w:val="en-US" w:eastAsia="zh-CN"/>
              </w:rPr>
            </w:pPr>
            <w:r>
              <w:rPr>
                <w:rFonts w:hint="eastAsia" w:hAnsi="仿宋_GB2312" w:cs="仿宋_GB2312"/>
                <w:sz w:val="24"/>
                <w:highlight w:val="none"/>
                <w:lang w:val="en-US" w:eastAsia="zh-CN"/>
              </w:rPr>
              <w:t>212</w:t>
            </w:r>
          </w:p>
        </w:tc>
      </w:tr>
      <w:tr w14:paraId="0A6BB3A2">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846" w:type="dxa"/>
          </w:tcPr>
          <w:p w14:paraId="7FAE3C37">
            <w:pPr>
              <w:widowControl/>
              <w:jc w:val="center"/>
              <w:rPr>
                <w:rFonts w:hint="eastAsia" w:hAnsi="仿宋_GB2312" w:cs="仿宋_GB2312"/>
                <w:b w:val="0"/>
                <w:bCs w:val="0"/>
                <w:sz w:val="24"/>
              </w:rPr>
            </w:pPr>
            <w:r>
              <w:rPr>
                <w:rFonts w:hint="eastAsia" w:hAnsi="仿宋_GB2312" w:cs="仿宋_GB2312"/>
                <w:b/>
                <w:bCs/>
                <w:sz w:val="24"/>
              </w:rPr>
              <w:t>2</w:t>
            </w:r>
          </w:p>
        </w:tc>
        <w:tc>
          <w:tcPr>
            <w:tcW w:w="3118" w:type="dxa"/>
            <w:shd w:val="clear" w:color="auto" w:fill="DEEAF6" w:themeFill="accent5" w:themeFillTint="33"/>
          </w:tcPr>
          <w:p w14:paraId="5A4908D5">
            <w:pPr>
              <w:widowControl/>
              <w:jc w:val="center"/>
              <w:rPr>
                <w:rFonts w:hint="eastAsia" w:hAnsi="仿宋_GB2312" w:cs="仿宋_GB2312"/>
                <w:sz w:val="24"/>
              </w:rPr>
            </w:pPr>
            <w:r>
              <w:rPr>
                <w:rFonts w:hint="eastAsia" w:hAnsi="仿宋_GB2312" w:cs="仿宋_GB2312"/>
                <w:sz w:val="24"/>
              </w:rPr>
              <w:t>教职员工额定编制数</w:t>
            </w:r>
          </w:p>
        </w:tc>
        <w:tc>
          <w:tcPr>
            <w:tcW w:w="1404" w:type="dxa"/>
          </w:tcPr>
          <w:p w14:paraId="3EE4C126">
            <w:pPr>
              <w:widowControl/>
              <w:jc w:val="center"/>
              <w:rPr>
                <w:rFonts w:hint="eastAsia" w:hAnsi="仿宋_GB2312" w:cs="仿宋_GB2312"/>
                <w:sz w:val="24"/>
              </w:rPr>
            </w:pPr>
            <w:r>
              <w:rPr>
                <w:rFonts w:hint="eastAsia" w:hAnsi="仿宋_GB2312" w:cs="仿宋_GB2312"/>
                <w:sz w:val="24"/>
              </w:rPr>
              <w:t>人</w:t>
            </w:r>
          </w:p>
        </w:tc>
        <w:tc>
          <w:tcPr>
            <w:tcW w:w="1676" w:type="dxa"/>
            <w:shd w:val="clear" w:color="auto" w:fill="DEEAF6" w:themeFill="accent5" w:themeFillTint="33"/>
            <w:vAlign w:val="top"/>
          </w:tcPr>
          <w:p w14:paraId="68D2AC9D">
            <w:pPr>
              <w:widowControl/>
              <w:jc w:val="center"/>
              <w:rPr>
                <w:rFonts w:hint="eastAsia" w:hAnsi="仿宋_GB2312" w:cs="仿宋_GB2312"/>
                <w:sz w:val="24"/>
              </w:rPr>
            </w:pPr>
            <w:r>
              <w:rPr>
                <w:rFonts w:hint="eastAsia" w:hAnsi="仿宋_GB2312" w:cs="仿宋_GB2312"/>
                <w:sz w:val="24"/>
              </w:rPr>
              <w:t>123</w:t>
            </w:r>
          </w:p>
        </w:tc>
        <w:tc>
          <w:tcPr>
            <w:tcW w:w="1676" w:type="dxa"/>
          </w:tcPr>
          <w:p w14:paraId="7534ECC2">
            <w:pPr>
              <w:widowControl/>
              <w:jc w:val="center"/>
              <w:rPr>
                <w:rFonts w:hint="default" w:hAnsi="仿宋_GB2312" w:eastAsia="仿宋_GB2312" w:cs="仿宋_GB2312"/>
                <w:sz w:val="24"/>
                <w:highlight w:val="none"/>
                <w:lang w:val="en-US" w:eastAsia="zh-CN"/>
              </w:rPr>
            </w:pPr>
            <w:r>
              <w:rPr>
                <w:rFonts w:hint="eastAsia" w:hAnsi="仿宋_GB2312" w:cs="仿宋_GB2312"/>
                <w:sz w:val="24"/>
                <w:highlight w:val="none"/>
                <w:lang w:val="en-US" w:eastAsia="zh-CN"/>
              </w:rPr>
              <w:t>124</w:t>
            </w:r>
          </w:p>
        </w:tc>
      </w:tr>
      <w:tr w14:paraId="5137254A">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846" w:type="dxa"/>
          </w:tcPr>
          <w:p w14:paraId="60D709B8">
            <w:pPr>
              <w:widowControl/>
              <w:jc w:val="center"/>
              <w:rPr>
                <w:rFonts w:hint="eastAsia" w:hAnsi="仿宋_GB2312" w:cs="仿宋_GB2312"/>
                <w:b w:val="0"/>
                <w:bCs w:val="0"/>
                <w:sz w:val="24"/>
              </w:rPr>
            </w:pPr>
            <w:r>
              <w:rPr>
                <w:rFonts w:hint="eastAsia" w:hAnsi="仿宋_GB2312" w:cs="仿宋_GB2312"/>
                <w:b/>
                <w:bCs/>
                <w:sz w:val="24"/>
              </w:rPr>
              <w:t>3</w:t>
            </w:r>
          </w:p>
        </w:tc>
        <w:tc>
          <w:tcPr>
            <w:tcW w:w="3118" w:type="dxa"/>
            <w:shd w:val="clear" w:color="auto" w:fill="DEEAF6" w:themeFill="accent5" w:themeFillTint="33"/>
          </w:tcPr>
          <w:p w14:paraId="349CB6B4">
            <w:pPr>
              <w:widowControl/>
              <w:jc w:val="center"/>
              <w:rPr>
                <w:rFonts w:hint="eastAsia" w:hAnsi="仿宋_GB2312" w:cs="仿宋_GB2312"/>
                <w:sz w:val="24"/>
              </w:rPr>
            </w:pPr>
            <w:r>
              <w:rPr>
                <w:rFonts w:hint="eastAsia" w:hAnsi="仿宋_GB2312" w:cs="仿宋_GB2312"/>
                <w:sz w:val="24"/>
              </w:rPr>
              <w:t>专任教师总数（含外聘）</w:t>
            </w:r>
          </w:p>
        </w:tc>
        <w:tc>
          <w:tcPr>
            <w:tcW w:w="1404" w:type="dxa"/>
          </w:tcPr>
          <w:p w14:paraId="7B19EF94">
            <w:pPr>
              <w:widowControl/>
              <w:jc w:val="center"/>
              <w:rPr>
                <w:rFonts w:hint="eastAsia" w:hAnsi="仿宋_GB2312" w:cs="仿宋_GB2312"/>
                <w:sz w:val="24"/>
              </w:rPr>
            </w:pPr>
            <w:r>
              <w:rPr>
                <w:rFonts w:hint="eastAsia" w:hAnsi="仿宋_GB2312" w:cs="仿宋_GB2312"/>
                <w:sz w:val="24"/>
              </w:rPr>
              <w:t>人</w:t>
            </w:r>
          </w:p>
        </w:tc>
        <w:tc>
          <w:tcPr>
            <w:tcW w:w="1676" w:type="dxa"/>
            <w:shd w:val="clear" w:color="auto" w:fill="DEEAF6" w:themeFill="accent5" w:themeFillTint="33"/>
            <w:vAlign w:val="top"/>
          </w:tcPr>
          <w:p w14:paraId="2D08F8F4">
            <w:pPr>
              <w:widowControl/>
              <w:jc w:val="center"/>
              <w:rPr>
                <w:rFonts w:hint="eastAsia" w:hAnsi="仿宋_GB2312" w:cs="仿宋_GB2312"/>
                <w:sz w:val="24"/>
              </w:rPr>
            </w:pPr>
            <w:r>
              <w:rPr>
                <w:rFonts w:hint="eastAsia" w:hAnsi="仿宋_GB2312" w:cs="仿宋_GB2312"/>
                <w:sz w:val="24"/>
              </w:rPr>
              <w:t>218</w:t>
            </w:r>
          </w:p>
        </w:tc>
        <w:tc>
          <w:tcPr>
            <w:tcW w:w="1676" w:type="dxa"/>
          </w:tcPr>
          <w:p w14:paraId="4C43699A">
            <w:pPr>
              <w:widowControl/>
              <w:jc w:val="center"/>
              <w:rPr>
                <w:rFonts w:hint="default" w:hAnsi="仿宋_GB2312" w:eastAsia="仿宋_GB2312" w:cs="仿宋_GB2312"/>
                <w:sz w:val="24"/>
                <w:highlight w:val="none"/>
                <w:lang w:val="en-US" w:eastAsia="zh-CN"/>
              </w:rPr>
            </w:pPr>
            <w:r>
              <w:rPr>
                <w:rFonts w:hint="eastAsia" w:hAnsi="仿宋_GB2312" w:cs="仿宋_GB2312"/>
                <w:sz w:val="24"/>
                <w:highlight w:val="none"/>
                <w:lang w:val="en-US" w:eastAsia="zh-CN"/>
              </w:rPr>
              <w:t>192</w:t>
            </w:r>
          </w:p>
        </w:tc>
      </w:tr>
      <w:tr w14:paraId="08E99407">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846" w:type="dxa"/>
          </w:tcPr>
          <w:p w14:paraId="4B9E7ABF">
            <w:pPr>
              <w:widowControl/>
              <w:jc w:val="center"/>
              <w:rPr>
                <w:rFonts w:hint="eastAsia" w:hAnsi="仿宋_GB2312" w:cs="仿宋_GB2312"/>
                <w:b w:val="0"/>
                <w:bCs w:val="0"/>
                <w:sz w:val="24"/>
              </w:rPr>
            </w:pPr>
            <w:r>
              <w:rPr>
                <w:rFonts w:hint="eastAsia" w:hAnsi="仿宋_GB2312" w:cs="仿宋_GB2312"/>
                <w:b/>
                <w:bCs/>
                <w:sz w:val="24"/>
              </w:rPr>
              <w:t>4</w:t>
            </w:r>
          </w:p>
        </w:tc>
        <w:tc>
          <w:tcPr>
            <w:tcW w:w="3118" w:type="dxa"/>
            <w:shd w:val="clear" w:color="auto" w:fill="DEEAF6" w:themeFill="accent5" w:themeFillTint="33"/>
          </w:tcPr>
          <w:p w14:paraId="19D7DCB0">
            <w:pPr>
              <w:widowControl/>
              <w:jc w:val="center"/>
              <w:rPr>
                <w:rFonts w:hint="eastAsia" w:hAnsi="仿宋_GB2312" w:cs="仿宋_GB2312"/>
                <w:sz w:val="24"/>
              </w:rPr>
            </w:pPr>
            <w:r>
              <w:rPr>
                <w:rFonts w:hint="eastAsia" w:hAnsi="仿宋_GB2312" w:cs="仿宋_GB2312"/>
                <w:sz w:val="24"/>
              </w:rPr>
              <w:t>生师比</w:t>
            </w:r>
          </w:p>
        </w:tc>
        <w:tc>
          <w:tcPr>
            <w:tcW w:w="1404" w:type="dxa"/>
          </w:tcPr>
          <w:p w14:paraId="093A039D">
            <w:pPr>
              <w:widowControl/>
              <w:jc w:val="center"/>
              <w:rPr>
                <w:rFonts w:hint="eastAsia" w:hAnsi="仿宋_GB2312" w:cs="仿宋_GB2312"/>
                <w:sz w:val="24"/>
              </w:rPr>
            </w:pPr>
            <w:r>
              <w:rPr>
                <w:rFonts w:hint="eastAsia" w:hAnsi="仿宋_GB2312" w:cs="仿宋_GB2312"/>
                <w:sz w:val="24"/>
              </w:rPr>
              <w:t>：</w:t>
            </w:r>
          </w:p>
        </w:tc>
        <w:tc>
          <w:tcPr>
            <w:tcW w:w="1676" w:type="dxa"/>
            <w:shd w:val="clear" w:color="auto" w:fill="DEEAF6" w:themeFill="accent5" w:themeFillTint="33"/>
            <w:vAlign w:val="top"/>
          </w:tcPr>
          <w:p w14:paraId="11A94FF1">
            <w:pPr>
              <w:widowControl/>
              <w:jc w:val="center"/>
              <w:rPr>
                <w:rFonts w:hint="eastAsia" w:hAnsi="仿宋_GB2312" w:cs="仿宋_GB2312"/>
                <w:sz w:val="24"/>
              </w:rPr>
            </w:pPr>
            <w:r>
              <w:rPr>
                <w:rFonts w:hint="eastAsia" w:hAnsi="仿宋_GB2312" w:cs="仿宋_GB2312"/>
                <w:sz w:val="24"/>
              </w:rPr>
              <w:t>16.03</w:t>
            </w:r>
          </w:p>
        </w:tc>
        <w:tc>
          <w:tcPr>
            <w:tcW w:w="1676" w:type="dxa"/>
          </w:tcPr>
          <w:p w14:paraId="276C82FB">
            <w:pPr>
              <w:widowControl/>
              <w:jc w:val="center"/>
              <w:rPr>
                <w:rFonts w:hint="default" w:hAnsi="仿宋_GB2312" w:eastAsia="仿宋_GB2312" w:cs="仿宋_GB2312"/>
                <w:sz w:val="24"/>
                <w:highlight w:val="none"/>
                <w:lang w:val="en-US" w:eastAsia="zh-CN"/>
              </w:rPr>
            </w:pPr>
            <w:r>
              <w:rPr>
                <w:rFonts w:hint="eastAsia" w:hAnsi="仿宋_GB2312" w:cs="仿宋_GB2312"/>
                <w:sz w:val="24"/>
                <w:highlight w:val="none"/>
                <w:lang w:val="en-US" w:eastAsia="zh-CN"/>
              </w:rPr>
              <w:t>15.57</w:t>
            </w:r>
          </w:p>
        </w:tc>
      </w:tr>
      <w:tr w14:paraId="1A39B60F">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846" w:type="dxa"/>
          </w:tcPr>
          <w:p w14:paraId="03E096E8">
            <w:pPr>
              <w:widowControl/>
              <w:jc w:val="center"/>
              <w:rPr>
                <w:rFonts w:hint="eastAsia" w:hAnsi="仿宋_GB2312" w:cs="仿宋_GB2312"/>
                <w:b w:val="0"/>
                <w:bCs w:val="0"/>
                <w:sz w:val="24"/>
              </w:rPr>
            </w:pPr>
            <w:r>
              <w:rPr>
                <w:rFonts w:hint="eastAsia" w:hAnsi="仿宋_GB2312" w:cs="仿宋_GB2312"/>
                <w:b/>
                <w:bCs/>
                <w:sz w:val="24"/>
              </w:rPr>
              <w:t>5</w:t>
            </w:r>
          </w:p>
        </w:tc>
        <w:tc>
          <w:tcPr>
            <w:tcW w:w="3118" w:type="dxa"/>
            <w:shd w:val="clear" w:color="auto" w:fill="DEEAF6" w:themeFill="accent5" w:themeFillTint="33"/>
          </w:tcPr>
          <w:p w14:paraId="5A09E4E6">
            <w:pPr>
              <w:widowControl/>
              <w:jc w:val="center"/>
              <w:rPr>
                <w:rFonts w:hint="eastAsia" w:hAnsi="仿宋_GB2312" w:cs="仿宋_GB2312"/>
                <w:sz w:val="24"/>
              </w:rPr>
            </w:pPr>
            <w:r>
              <w:rPr>
                <w:rFonts w:hint="eastAsia" w:hAnsi="仿宋_GB2312" w:cs="仿宋_GB2312"/>
                <w:sz w:val="24"/>
              </w:rPr>
              <w:t>“双师型”教师比例</w:t>
            </w:r>
          </w:p>
        </w:tc>
        <w:tc>
          <w:tcPr>
            <w:tcW w:w="1404" w:type="dxa"/>
          </w:tcPr>
          <w:p w14:paraId="489F223F">
            <w:pPr>
              <w:widowControl/>
              <w:jc w:val="center"/>
              <w:rPr>
                <w:rFonts w:hint="eastAsia" w:hAnsi="仿宋_GB2312" w:cs="仿宋_GB2312"/>
                <w:sz w:val="24"/>
              </w:rPr>
            </w:pPr>
            <w:r>
              <w:rPr>
                <w:rFonts w:hint="eastAsia" w:hAnsi="仿宋_GB2312" w:cs="仿宋_GB2312"/>
                <w:sz w:val="24"/>
              </w:rPr>
              <w:t>%</w:t>
            </w:r>
          </w:p>
        </w:tc>
        <w:tc>
          <w:tcPr>
            <w:tcW w:w="1676" w:type="dxa"/>
            <w:shd w:val="clear" w:color="auto" w:fill="DEEAF6" w:themeFill="accent5" w:themeFillTint="33"/>
            <w:vAlign w:val="top"/>
          </w:tcPr>
          <w:p w14:paraId="1BF1AACC">
            <w:pPr>
              <w:widowControl/>
              <w:jc w:val="center"/>
              <w:rPr>
                <w:rFonts w:hint="eastAsia" w:hAnsi="仿宋_GB2312" w:cs="仿宋_GB2312"/>
                <w:sz w:val="24"/>
              </w:rPr>
            </w:pPr>
            <w:r>
              <w:rPr>
                <w:rFonts w:hint="eastAsia" w:hAnsi="仿宋_GB2312" w:cs="仿宋_GB2312"/>
                <w:sz w:val="24"/>
              </w:rPr>
              <w:t>9.8</w:t>
            </w:r>
          </w:p>
        </w:tc>
        <w:tc>
          <w:tcPr>
            <w:tcW w:w="1676" w:type="dxa"/>
          </w:tcPr>
          <w:p w14:paraId="21321AC5">
            <w:pPr>
              <w:widowControl/>
              <w:jc w:val="center"/>
              <w:rPr>
                <w:rFonts w:hint="eastAsia" w:hAnsi="仿宋_GB2312" w:cs="仿宋_GB2312"/>
                <w:sz w:val="24"/>
                <w:highlight w:val="none"/>
              </w:rPr>
            </w:pPr>
            <w:r>
              <w:rPr>
                <w:rFonts w:hint="eastAsia" w:hAnsi="仿宋_GB2312" w:cs="仿宋_GB2312"/>
                <w:sz w:val="24"/>
                <w:highlight w:val="none"/>
                <w:lang w:val="en-US" w:eastAsia="zh-CN"/>
              </w:rPr>
              <w:t>24.76%</w:t>
            </w:r>
          </w:p>
        </w:tc>
      </w:tr>
    </w:tbl>
    <w:p w14:paraId="42B48666">
      <w:pPr>
        <w:ind w:firstLine="640" w:firstLineChars="200"/>
        <w:rPr>
          <w:rFonts w:hint="eastAsia" w:hAnsi="仿宋_GB2312" w:cs="仿宋_GB2312"/>
          <w:szCs w:val="32"/>
        </w:rPr>
      </w:pPr>
    </w:p>
    <w:p w14:paraId="2706C571">
      <w:pPr>
        <w:widowControl/>
        <w:spacing w:line="240" w:lineRule="auto"/>
        <w:jc w:val="left"/>
        <w:rPr>
          <w:rFonts w:hint="eastAsia" w:hAnsi="仿宋_GB2312" w:cs="仿宋_GB2312"/>
          <w:szCs w:val="32"/>
        </w:rPr>
      </w:pPr>
      <w:r>
        <w:rPr>
          <w:rFonts w:hint="eastAsia" w:hAnsi="仿宋_GB2312" w:cs="仿宋_GB2312"/>
          <w:szCs w:val="32"/>
        </w:rPr>
        <w:br w:type="page"/>
      </w:r>
    </w:p>
    <w:p w14:paraId="49D1389F">
      <w:pPr>
        <w:pStyle w:val="2"/>
        <w:ind w:left="640"/>
        <w:rPr>
          <w:rFonts w:hint="eastAsia"/>
        </w:rPr>
      </w:pPr>
      <w:bookmarkStart w:id="5" w:name="_Toc187608097"/>
      <w:r>
        <w:rPr>
          <w:rFonts w:hint="eastAsia"/>
        </w:rPr>
        <w:t>2.人才培养</w:t>
      </w:r>
      <w:bookmarkEnd w:id="5"/>
    </w:p>
    <w:p w14:paraId="7A760AEB">
      <w:pPr>
        <w:ind w:firstLine="640"/>
        <w:rPr>
          <w:rFonts w:hint="eastAsia"/>
        </w:rPr>
      </w:pPr>
      <w:r>
        <w:t>202</w:t>
      </w:r>
      <w:r>
        <w:rPr>
          <w:rFonts w:hint="eastAsia"/>
          <w:lang w:val="en-US" w:eastAsia="zh-CN"/>
        </w:rPr>
        <w:t>4</w:t>
      </w:r>
      <w:r>
        <w:t>-202</w:t>
      </w:r>
      <w:r>
        <w:rPr>
          <w:rFonts w:hint="eastAsia"/>
          <w:lang w:val="en-US" w:eastAsia="zh-CN"/>
        </w:rPr>
        <w:t>5</w:t>
      </w:r>
      <w:r>
        <w:rPr>
          <w:rFonts w:hint="eastAsia"/>
        </w:rPr>
        <w:t>学年，学校按照教育部、省教育厅、市教育局统一部署，继续坚持以立德树人为根本，创新德育形式，拓宽德育途径，推动提升全环境立德树人，培养德智体美劳全面发展的中国特色社会主义合格建设者和可靠接班人。</w:t>
      </w:r>
    </w:p>
    <w:p w14:paraId="1D8DCD70">
      <w:pPr>
        <w:pStyle w:val="3"/>
        <w:ind w:left="640"/>
        <w:rPr>
          <w:rFonts w:hint="eastAsia"/>
        </w:rPr>
      </w:pPr>
      <w:bookmarkStart w:id="6" w:name="_Toc187608098"/>
      <w:r>
        <w:rPr>
          <w:rFonts w:hint="eastAsia"/>
        </w:rPr>
        <w:t>2.1立德树人</w:t>
      </w:r>
      <w:bookmarkEnd w:id="6"/>
    </w:p>
    <w:p w14:paraId="640F0319">
      <w:pPr>
        <w:ind w:firstLine="640" w:firstLineChars="200"/>
        <w:rPr>
          <w:rFonts w:hint="eastAsia"/>
        </w:rPr>
      </w:pPr>
      <w:r>
        <w:rPr>
          <w:rFonts w:hint="eastAsia"/>
        </w:rPr>
        <w:t>强化党建引领，构建立德树人新格局。学校始终将党的领导、党的建设贯穿办学治校全过程，建立党建德育协同育人机制，以党建促德育，以德育促成长。通过书记讲党课、校长讲思政课等示范引领活动，扎实推进习近平新时代中国特色社会主义思想和党的二十大精神进校园、进课堂、进头脑。</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30"/>
      </w:tblGrid>
      <w:tr w14:paraId="4C11F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30" w:type="dxa"/>
            <w:vAlign w:val="center"/>
          </w:tcPr>
          <w:p w14:paraId="2EF6C5E0">
            <w:pPr>
              <w:tabs>
                <w:tab w:val="left" w:pos="1125"/>
              </w:tabs>
              <w:spacing w:line="240" w:lineRule="auto"/>
              <w:jc w:val="center"/>
              <w:rPr>
                <w:rFonts w:hint="eastAsia"/>
              </w:rPr>
            </w:pPr>
            <w:r>
              <w:rPr>
                <w:rFonts w:hint="eastAsia"/>
              </w:rPr>
              <w:drawing>
                <wp:inline distT="0" distB="0" distL="0" distR="0">
                  <wp:extent cx="5471160" cy="4103370"/>
                  <wp:effectExtent l="0" t="0" r="15240" b="11430"/>
                  <wp:docPr id="1855205102" name="图片 1855205102" descr="C:/Users/hp/Desktop/2-1.png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05102" name="图片 1855205102" descr="C:/Users/hp/Desktop/2-1.png2-1"/>
                          <pic:cNvPicPr>
                            <a:picLocks noChangeAspect="1"/>
                          </pic:cNvPicPr>
                        </pic:nvPicPr>
                        <pic:blipFill>
                          <a:blip r:embed="rId10"/>
                          <a:srcRect l="5563" r="5563"/>
                          <a:stretch>
                            <a:fillRect/>
                          </a:stretch>
                        </pic:blipFill>
                        <pic:spPr>
                          <a:xfrm>
                            <a:off x="0" y="0"/>
                            <a:ext cx="5472000" cy="4103370"/>
                          </a:xfrm>
                          <a:prstGeom prst="rect">
                            <a:avLst/>
                          </a:prstGeom>
                          <a:ln>
                            <a:noFill/>
                          </a:ln>
                        </pic:spPr>
                      </pic:pic>
                    </a:graphicData>
                  </a:graphic>
                </wp:inline>
              </w:drawing>
            </w:r>
          </w:p>
        </w:tc>
      </w:tr>
      <w:tr w14:paraId="504AD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730" w:type="dxa"/>
            <w:vAlign w:val="center"/>
          </w:tcPr>
          <w:p w14:paraId="69111B22">
            <w:pPr>
              <w:tabs>
                <w:tab w:val="left" w:pos="1125"/>
              </w:tabs>
              <w:spacing w:line="240" w:lineRule="auto"/>
              <w:jc w:val="center"/>
              <w:rPr>
                <w:rFonts w:hint="eastAsia" w:eastAsia="仿宋_GB2312"/>
                <w:b/>
                <w:bCs/>
                <w:lang w:eastAsia="zh-CN"/>
              </w:rPr>
            </w:pPr>
            <w:r>
              <w:rPr>
                <w:rFonts w:hint="eastAsia"/>
                <w:b/>
                <w:bCs/>
                <w:sz w:val="24"/>
                <w:szCs w:val="21"/>
              </w:rPr>
              <w:t>图2</w:t>
            </w:r>
            <w:r>
              <w:rPr>
                <w:b/>
                <w:bCs/>
                <w:sz w:val="24"/>
                <w:szCs w:val="21"/>
              </w:rPr>
              <w:t>-</w:t>
            </w:r>
            <w:r>
              <w:rPr>
                <w:rFonts w:hint="eastAsia"/>
                <w:b/>
                <w:bCs/>
                <w:sz w:val="24"/>
                <w:szCs w:val="21"/>
              </w:rPr>
              <w:t>1</w:t>
            </w:r>
            <w:r>
              <w:rPr>
                <w:b/>
                <w:bCs/>
                <w:sz w:val="24"/>
                <w:szCs w:val="21"/>
              </w:rPr>
              <w:t xml:space="preserve">  </w:t>
            </w:r>
            <w:r>
              <w:rPr>
                <w:rFonts w:hint="eastAsia"/>
                <w:b/>
                <w:bCs/>
                <w:sz w:val="24"/>
                <w:szCs w:val="21"/>
                <w:lang w:eastAsia="zh-CN"/>
              </w:rPr>
              <w:t>学习贯彻党的二十届三中全会精神市委宣讲团到临沂艺术学校宣讲</w:t>
            </w:r>
          </w:p>
        </w:tc>
      </w:tr>
    </w:tbl>
    <w:p w14:paraId="6218617C">
      <w:pPr>
        <w:ind w:firstLine="640" w:firstLineChars="200"/>
        <w:rPr>
          <w:rFonts w:hint="eastAsia"/>
        </w:rPr>
      </w:pPr>
      <w:r>
        <w:rPr>
          <w:rFonts w:hint="eastAsia"/>
        </w:rPr>
        <w:t>创新德育形式，打造校园文化新生态。学校不断加强德育教育与日常行为管理，通过“国旗+”技能展示活动，将教育教学与升旗仪式等活动有机结合，让升旗仪式成为思政教育的“大课堂”、风采展示的“大舞台”。加强对学生日常行为规范的教育与引导，实行每日早操、校服穿着、节约用餐、文明言行、内务检查制度，培养学生良好的道德品质和行为习惯。开展专题讲座、主题思政、校园</w:t>
      </w:r>
      <w:r>
        <w:rPr>
          <w:rFonts w:hint="eastAsia"/>
          <w:lang w:eastAsia="zh-CN"/>
        </w:rPr>
        <w:t>舞蹈节</w:t>
      </w:r>
      <w:r>
        <w:rPr>
          <w:rFonts w:hint="eastAsia"/>
        </w:rPr>
        <w:t>、书法比赛等主题教育和特色活动，以美育德，以育促美，打造健康、阳光的校园文化，建立德技并修双引擎，寓品德教育于专业技能实践。</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30"/>
      </w:tblGrid>
      <w:tr w14:paraId="0535E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730" w:type="dxa"/>
            <w:vAlign w:val="center"/>
          </w:tcPr>
          <w:p w14:paraId="5C60B613">
            <w:pPr>
              <w:tabs>
                <w:tab w:val="left" w:pos="1125"/>
              </w:tabs>
              <w:spacing w:line="240" w:lineRule="auto"/>
              <w:jc w:val="center"/>
              <w:rPr>
                <w:rFonts w:hint="eastAsia"/>
              </w:rPr>
            </w:pPr>
            <w:r>
              <w:rPr>
                <w:rFonts w:hint="eastAsia"/>
              </w:rPr>
              <w:drawing>
                <wp:inline distT="0" distB="0" distL="0" distR="0">
                  <wp:extent cx="5471795" cy="3493770"/>
                  <wp:effectExtent l="0" t="0" r="14605" b="11430"/>
                  <wp:docPr id="1083787343" name="图片 1083787343" descr="C:/Users/hp/Desktop/2-2.jp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787343" name="图片 1083787343" descr="C:/Users/hp/Desktop/2-2.jpg2-2"/>
                          <pic:cNvPicPr>
                            <a:picLocks noChangeAspect="1"/>
                          </pic:cNvPicPr>
                        </pic:nvPicPr>
                        <pic:blipFill>
                          <a:blip r:embed="rId11"/>
                          <a:srcRect t="2095" b="2095"/>
                          <a:stretch>
                            <a:fillRect/>
                          </a:stretch>
                        </pic:blipFill>
                        <pic:spPr>
                          <a:xfrm>
                            <a:off x="0" y="0"/>
                            <a:ext cx="5471795" cy="3494232"/>
                          </a:xfrm>
                          <a:prstGeom prst="rect">
                            <a:avLst/>
                          </a:prstGeom>
                          <a:ln>
                            <a:noFill/>
                          </a:ln>
                        </pic:spPr>
                      </pic:pic>
                    </a:graphicData>
                  </a:graphic>
                </wp:inline>
              </w:drawing>
            </w:r>
          </w:p>
        </w:tc>
      </w:tr>
      <w:tr w14:paraId="3AFD8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67" w:hRule="atLeast"/>
        </w:trPr>
        <w:tc>
          <w:tcPr>
            <w:tcW w:w="8730" w:type="dxa"/>
            <w:vAlign w:val="center"/>
          </w:tcPr>
          <w:p w14:paraId="7F675A3B">
            <w:pPr>
              <w:tabs>
                <w:tab w:val="left" w:pos="1125"/>
              </w:tabs>
              <w:spacing w:line="240" w:lineRule="auto"/>
              <w:jc w:val="center"/>
              <w:rPr>
                <w:rFonts w:hint="eastAsia" w:eastAsia="仿宋_GB2312"/>
                <w:b/>
                <w:bCs/>
                <w:lang w:eastAsia="zh-CN"/>
              </w:rPr>
            </w:pPr>
            <w:r>
              <w:rPr>
                <w:rFonts w:hint="eastAsia"/>
                <w:b/>
                <w:bCs/>
                <w:sz w:val="24"/>
                <w:szCs w:val="21"/>
                <w:highlight w:val="none"/>
              </w:rPr>
              <w:t>图2</w:t>
            </w:r>
            <w:r>
              <w:rPr>
                <w:b/>
                <w:bCs/>
                <w:sz w:val="24"/>
                <w:szCs w:val="21"/>
                <w:highlight w:val="none"/>
              </w:rPr>
              <w:t>-</w:t>
            </w:r>
            <w:r>
              <w:rPr>
                <w:rFonts w:hint="eastAsia"/>
                <w:b/>
                <w:bCs/>
                <w:sz w:val="24"/>
                <w:szCs w:val="21"/>
                <w:highlight w:val="none"/>
              </w:rPr>
              <w:t>2</w:t>
            </w:r>
            <w:r>
              <w:rPr>
                <w:b/>
                <w:bCs/>
                <w:sz w:val="24"/>
                <w:szCs w:val="21"/>
                <w:highlight w:val="none"/>
              </w:rPr>
              <w:t xml:space="preserve">  </w:t>
            </w:r>
            <w:r>
              <w:rPr>
                <w:rFonts w:hint="eastAsia"/>
                <w:b/>
                <w:bCs/>
                <w:sz w:val="24"/>
                <w:szCs w:val="21"/>
                <w:highlight w:val="none"/>
                <w:lang w:eastAsia="zh-CN"/>
              </w:rPr>
              <w:t>临沂艺术学校开展植树节主题活动</w:t>
            </w:r>
          </w:p>
        </w:tc>
      </w:tr>
    </w:tbl>
    <w:p w14:paraId="2BBB6235">
      <w:pPr>
        <w:ind w:firstLine="645"/>
        <w:rPr>
          <w:rFonts w:hint="eastAsia"/>
          <w:highlight w:val="none"/>
        </w:rPr>
      </w:pPr>
      <w:r>
        <w:rPr>
          <w:rFonts w:hint="eastAsia"/>
        </w:rPr>
        <w:t>加强课程建设，用好课堂教学主渠道。学校大力推进思政课程教育教学体系建设，配齐配足思政课教师和德育教师，开启开足思政、美育、体育等课程。</w:t>
      </w:r>
      <w:r>
        <w:rPr>
          <w:rFonts w:hint="eastAsia"/>
          <w:lang w:eastAsia="zh-CN"/>
        </w:rPr>
        <w:t>学校思政团队在全市主题思政优质课评选活动中荣获一等奖。</w:t>
      </w:r>
      <w:r>
        <w:rPr>
          <w:rFonts w:hint="eastAsia"/>
        </w:rPr>
        <w:t>同时，在专业技能课程和实习实训中渗透思想政治教育内容，形成思政课程和课程思政同向同行、协同育人效应。</w:t>
      </w:r>
      <w:r>
        <w:rPr>
          <w:rFonts w:hint="eastAsia"/>
          <w:highlight w:val="none"/>
        </w:rPr>
        <w:t>2024</w:t>
      </w:r>
      <w:r>
        <w:rPr>
          <w:rFonts w:hint="eastAsia"/>
          <w:highlight w:val="none"/>
          <w:lang w:val="en-US" w:eastAsia="zh-CN"/>
        </w:rPr>
        <w:t>-2025学</w:t>
      </w:r>
      <w:r>
        <w:rPr>
          <w:rFonts w:hint="eastAsia"/>
          <w:highlight w:val="none"/>
        </w:rPr>
        <w:t>年，共有</w:t>
      </w:r>
      <w:r>
        <w:rPr>
          <w:rFonts w:hint="eastAsia"/>
          <w:highlight w:val="none"/>
          <w:lang w:val="en-US" w:eastAsia="zh-CN"/>
        </w:rPr>
        <w:t>2106</w:t>
      </w:r>
      <w:r>
        <w:rPr>
          <w:rFonts w:hint="eastAsia"/>
          <w:highlight w:val="none"/>
        </w:rPr>
        <w:t>名学生参与体质健康测试，合格率超过99.9%。（详见表2-1）</w:t>
      </w:r>
    </w:p>
    <w:p w14:paraId="4EB3556F">
      <w:pPr>
        <w:widowControl/>
        <w:jc w:val="center"/>
        <w:rPr>
          <w:rFonts w:hint="eastAsia" w:hAnsi="仿宋_GB2312" w:cs="仿宋_GB2312"/>
          <w:b/>
          <w:bCs/>
          <w:sz w:val="24"/>
          <w:highlight w:val="none"/>
        </w:rPr>
      </w:pPr>
      <w:r>
        <w:rPr>
          <w:rFonts w:hint="eastAsia" w:hAnsi="仿宋_GB2312" w:cs="仿宋_GB2312"/>
          <w:b/>
          <w:bCs/>
          <w:sz w:val="24"/>
          <w:highlight w:val="none"/>
        </w:rPr>
        <w:t>表2-1  临沂艺术学校202</w:t>
      </w:r>
      <w:r>
        <w:rPr>
          <w:rFonts w:hint="eastAsia" w:hAnsi="仿宋_GB2312" w:cs="仿宋_GB2312"/>
          <w:b/>
          <w:bCs/>
          <w:sz w:val="24"/>
          <w:highlight w:val="none"/>
          <w:lang w:val="en-US" w:eastAsia="zh-CN"/>
        </w:rPr>
        <w:t>5</w:t>
      </w:r>
      <w:r>
        <w:rPr>
          <w:rFonts w:hint="eastAsia" w:hAnsi="仿宋_GB2312" w:cs="仿宋_GB2312"/>
          <w:b/>
          <w:bCs/>
          <w:sz w:val="24"/>
          <w:highlight w:val="none"/>
        </w:rPr>
        <w:t>年学生体测数据表</w:t>
      </w:r>
    </w:p>
    <w:tbl>
      <w:tblPr>
        <w:tblStyle w:val="35"/>
        <w:tblW w:w="0" w:type="auto"/>
        <w:tblInd w:w="0" w:type="dxa"/>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Layout w:type="autofit"/>
        <w:tblCellMar>
          <w:top w:w="0" w:type="dxa"/>
          <w:left w:w="108" w:type="dxa"/>
          <w:bottom w:w="0" w:type="dxa"/>
          <w:right w:w="108" w:type="dxa"/>
        </w:tblCellMar>
      </w:tblPr>
      <w:tblGrid>
        <w:gridCol w:w="1042"/>
        <w:gridCol w:w="3842"/>
        <w:gridCol w:w="1730"/>
        <w:gridCol w:w="2065"/>
      </w:tblGrid>
      <w:tr w14:paraId="2A846CA6">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rPr>
          <w:tblHeader/>
        </w:trPr>
        <w:tc>
          <w:tcPr>
            <w:tcW w:w="1042" w:type="dxa"/>
            <w:tcBorders>
              <w:top w:val="single" w:color="5B9BD5" w:themeColor="accent5" w:sz="4" w:space="0"/>
              <w:left w:val="single" w:color="5B9BD5" w:themeColor="accent5" w:sz="4" w:space="0"/>
              <w:bottom w:val="single" w:color="5B9BD5" w:themeColor="accent5" w:sz="4" w:space="0"/>
              <w:right w:val="nil"/>
              <w:insideH w:val="single" w:sz="4" w:space="0"/>
              <w:insideV w:val="nil"/>
            </w:tcBorders>
            <w:shd w:val="clear" w:color="auto" w:fill="5B9BD5" w:themeFill="accent5"/>
          </w:tcPr>
          <w:p w14:paraId="50E1566B">
            <w:pPr>
              <w:widowControl/>
              <w:jc w:val="center"/>
              <w:rPr>
                <w:rFonts w:hint="eastAsia" w:hAnsi="仿宋_GB2312" w:cs="仿宋_GB2312"/>
                <w:b w:val="0"/>
                <w:bCs w:val="0"/>
                <w:color w:val="FFFFFF" w:themeColor="background1"/>
                <w:sz w:val="24"/>
                <w:highlight w:val="none"/>
                <w14:textFill>
                  <w14:solidFill>
                    <w14:schemeClr w14:val="bg1"/>
                  </w14:solidFill>
                </w14:textFill>
              </w:rPr>
            </w:pPr>
            <w:r>
              <w:rPr>
                <w:rFonts w:hint="eastAsia" w:hAnsi="仿宋_GB2312" w:cs="仿宋_GB2312"/>
                <w:b/>
                <w:bCs/>
                <w:color w:val="FFFFFF" w:themeColor="background1"/>
                <w:sz w:val="24"/>
                <w:highlight w:val="none"/>
                <w14:textFill>
                  <w14:solidFill>
                    <w14:schemeClr w14:val="bg1"/>
                  </w14:solidFill>
                </w14:textFill>
              </w:rPr>
              <w:t>序号</w:t>
            </w:r>
          </w:p>
        </w:tc>
        <w:tc>
          <w:tcPr>
            <w:tcW w:w="3842" w:type="dxa"/>
            <w:tcBorders>
              <w:top w:val="single" w:color="5B9BD5" w:themeColor="accent5" w:sz="4" w:space="0"/>
              <w:bottom w:val="single" w:color="5B9BD5" w:themeColor="accent5" w:sz="4" w:space="0"/>
              <w:right w:val="nil"/>
              <w:insideH w:val="single" w:sz="4" w:space="0"/>
              <w:insideV w:val="nil"/>
            </w:tcBorders>
            <w:shd w:val="clear" w:color="auto" w:fill="5B9BD5" w:themeFill="accent5"/>
          </w:tcPr>
          <w:p w14:paraId="6FBD3191">
            <w:pPr>
              <w:widowControl/>
              <w:jc w:val="center"/>
              <w:rPr>
                <w:rFonts w:hint="eastAsia" w:hAnsi="仿宋_GB2312" w:cs="仿宋_GB2312"/>
                <w:b w:val="0"/>
                <w:bCs w:val="0"/>
                <w:color w:val="FFFFFF" w:themeColor="background1"/>
                <w:sz w:val="24"/>
                <w:highlight w:val="none"/>
                <w14:textFill>
                  <w14:solidFill>
                    <w14:schemeClr w14:val="bg1"/>
                  </w14:solidFill>
                </w14:textFill>
              </w:rPr>
            </w:pPr>
            <w:r>
              <w:rPr>
                <w:rFonts w:hint="eastAsia" w:hAnsi="仿宋_GB2312" w:cs="仿宋_GB2312"/>
                <w:b/>
                <w:bCs/>
                <w:color w:val="FFFFFF" w:themeColor="background1"/>
                <w:sz w:val="24"/>
                <w:highlight w:val="none"/>
                <w14:textFill>
                  <w14:solidFill>
                    <w14:schemeClr w14:val="bg1"/>
                  </w14:solidFill>
                </w14:textFill>
              </w:rPr>
              <w:t>等级</w:t>
            </w:r>
          </w:p>
        </w:tc>
        <w:tc>
          <w:tcPr>
            <w:tcW w:w="1730" w:type="dxa"/>
            <w:tcBorders>
              <w:top w:val="single" w:color="5B9BD5" w:themeColor="accent5" w:sz="4" w:space="0"/>
              <w:bottom w:val="single" w:color="5B9BD5" w:themeColor="accent5" w:sz="4" w:space="0"/>
              <w:right w:val="nil"/>
              <w:insideH w:val="single" w:sz="4" w:space="0"/>
              <w:insideV w:val="nil"/>
            </w:tcBorders>
            <w:shd w:val="clear" w:color="auto" w:fill="5B9BD5" w:themeFill="accent5"/>
          </w:tcPr>
          <w:p w14:paraId="48237AB1">
            <w:pPr>
              <w:widowControl/>
              <w:jc w:val="center"/>
              <w:rPr>
                <w:rFonts w:hint="eastAsia" w:hAnsi="仿宋_GB2312" w:cs="仿宋_GB2312"/>
                <w:b w:val="0"/>
                <w:bCs w:val="0"/>
                <w:color w:val="FFFFFF" w:themeColor="background1"/>
                <w:sz w:val="24"/>
                <w:highlight w:val="none"/>
                <w14:textFill>
                  <w14:solidFill>
                    <w14:schemeClr w14:val="bg1"/>
                  </w14:solidFill>
                </w14:textFill>
              </w:rPr>
            </w:pPr>
            <w:r>
              <w:rPr>
                <w:rFonts w:hint="eastAsia" w:hAnsi="仿宋_GB2312" w:cs="仿宋_GB2312"/>
                <w:b/>
                <w:bCs/>
                <w:color w:val="FFFFFF" w:themeColor="background1"/>
                <w:sz w:val="24"/>
                <w:highlight w:val="none"/>
                <w14:textFill>
                  <w14:solidFill>
                    <w14:schemeClr w14:val="bg1"/>
                  </w14:solidFill>
                </w14:textFill>
              </w:rPr>
              <w:t>比率</w:t>
            </w:r>
          </w:p>
        </w:tc>
        <w:tc>
          <w:tcPr>
            <w:tcW w:w="2065" w:type="dxa"/>
            <w:tcBorders>
              <w:top w:val="single" w:color="5B9BD5" w:themeColor="accent5" w:sz="4" w:space="0"/>
              <w:bottom w:val="single" w:color="5B9BD5" w:themeColor="accent5" w:sz="4" w:space="0"/>
              <w:right w:val="nil"/>
              <w:insideH w:val="single" w:sz="4" w:space="0"/>
              <w:insideV w:val="nil"/>
            </w:tcBorders>
            <w:shd w:val="clear" w:color="auto" w:fill="5B9BD5" w:themeFill="accent5"/>
          </w:tcPr>
          <w:p w14:paraId="1426AB40">
            <w:pPr>
              <w:widowControl/>
              <w:jc w:val="center"/>
              <w:rPr>
                <w:rFonts w:hint="eastAsia" w:hAnsi="仿宋_GB2312" w:cs="仿宋_GB2312"/>
                <w:b w:val="0"/>
                <w:bCs w:val="0"/>
                <w:color w:val="FFFFFF" w:themeColor="background1"/>
                <w:sz w:val="24"/>
                <w:highlight w:val="none"/>
                <w14:textFill>
                  <w14:solidFill>
                    <w14:schemeClr w14:val="bg1"/>
                  </w14:solidFill>
                </w14:textFill>
              </w:rPr>
            </w:pPr>
            <w:r>
              <w:rPr>
                <w:rFonts w:hint="eastAsia" w:hAnsi="仿宋_GB2312" w:cs="仿宋_GB2312"/>
                <w:b/>
                <w:bCs/>
                <w:color w:val="FFFFFF" w:themeColor="background1"/>
                <w:sz w:val="24"/>
                <w:highlight w:val="none"/>
                <w14:textFill>
                  <w14:solidFill>
                    <w14:schemeClr w14:val="bg1"/>
                  </w14:solidFill>
                </w14:textFill>
              </w:rPr>
              <w:t>样本数</w:t>
            </w:r>
          </w:p>
        </w:tc>
      </w:tr>
      <w:tr w14:paraId="15969FB4">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1042" w:type="dxa"/>
          </w:tcPr>
          <w:p w14:paraId="3548F133">
            <w:pPr>
              <w:widowControl/>
              <w:jc w:val="center"/>
              <w:rPr>
                <w:rFonts w:hint="eastAsia" w:hAnsi="仿宋_GB2312" w:cs="仿宋_GB2312"/>
                <w:b w:val="0"/>
                <w:bCs w:val="0"/>
                <w:sz w:val="24"/>
                <w:highlight w:val="none"/>
              </w:rPr>
            </w:pPr>
            <w:r>
              <w:rPr>
                <w:rFonts w:hint="eastAsia" w:hAnsi="仿宋_GB2312" w:cs="仿宋_GB2312"/>
                <w:b/>
                <w:bCs/>
                <w:sz w:val="24"/>
                <w:highlight w:val="none"/>
              </w:rPr>
              <w:t>1</w:t>
            </w:r>
          </w:p>
        </w:tc>
        <w:tc>
          <w:tcPr>
            <w:tcW w:w="3842" w:type="dxa"/>
            <w:shd w:val="clear" w:color="auto" w:fill="DEEAF6" w:themeFill="accent5" w:themeFillTint="33"/>
          </w:tcPr>
          <w:p w14:paraId="4A5A03A6">
            <w:pPr>
              <w:widowControl/>
              <w:jc w:val="center"/>
              <w:rPr>
                <w:rFonts w:hint="eastAsia" w:hAnsi="仿宋_GB2312" w:cs="仿宋_GB2312"/>
                <w:sz w:val="24"/>
                <w:highlight w:val="none"/>
              </w:rPr>
            </w:pPr>
            <w:r>
              <w:rPr>
                <w:rFonts w:hint="eastAsia" w:hAnsi="仿宋_GB2312" w:cs="仿宋_GB2312"/>
                <w:sz w:val="24"/>
                <w:highlight w:val="none"/>
              </w:rPr>
              <w:t>优秀率</w:t>
            </w:r>
          </w:p>
        </w:tc>
        <w:tc>
          <w:tcPr>
            <w:tcW w:w="1730" w:type="dxa"/>
          </w:tcPr>
          <w:p w14:paraId="7A4AD423">
            <w:pPr>
              <w:widowControl/>
              <w:jc w:val="center"/>
              <w:rPr>
                <w:rFonts w:hint="eastAsia" w:hAnsi="仿宋_GB2312" w:cs="仿宋_GB2312"/>
                <w:sz w:val="24"/>
                <w:highlight w:val="none"/>
              </w:rPr>
            </w:pPr>
            <w:r>
              <w:rPr>
                <w:rFonts w:hint="eastAsia" w:hAnsi="仿宋_GB2312" w:cs="仿宋_GB2312"/>
                <w:sz w:val="24"/>
                <w:highlight w:val="none"/>
              </w:rPr>
              <w:t>35.</w:t>
            </w:r>
            <w:r>
              <w:rPr>
                <w:rFonts w:hint="eastAsia" w:hAnsi="仿宋_GB2312" w:cs="仿宋_GB2312"/>
                <w:sz w:val="24"/>
                <w:highlight w:val="none"/>
                <w:lang w:val="en-US" w:eastAsia="zh-CN"/>
              </w:rPr>
              <w:t>13</w:t>
            </w:r>
            <w:r>
              <w:rPr>
                <w:rFonts w:hint="eastAsia" w:hAnsi="仿宋_GB2312" w:cs="仿宋_GB2312"/>
                <w:sz w:val="24"/>
                <w:highlight w:val="none"/>
              </w:rPr>
              <w:t>%</w:t>
            </w:r>
          </w:p>
        </w:tc>
        <w:tc>
          <w:tcPr>
            <w:tcW w:w="2065" w:type="dxa"/>
            <w:shd w:val="clear" w:color="auto" w:fill="DEEAF6" w:themeFill="accent5" w:themeFillTint="33"/>
          </w:tcPr>
          <w:p w14:paraId="23B944F1">
            <w:pPr>
              <w:widowControl/>
              <w:jc w:val="center"/>
              <w:rPr>
                <w:rFonts w:hint="default" w:hAnsi="仿宋_GB2312" w:eastAsia="仿宋_GB2312" w:cs="仿宋_GB2312"/>
                <w:sz w:val="24"/>
                <w:highlight w:val="none"/>
                <w:lang w:val="en-US" w:eastAsia="zh-CN"/>
              </w:rPr>
            </w:pPr>
            <w:r>
              <w:rPr>
                <w:rFonts w:hint="eastAsia" w:hAnsi="仿宋_GB2312" w:cs="仿宋_GB2312"/>
                <w:sz w:val="24"/>
                <w:highlight w:val="none"/>
                <w:lang w:val="en-US" w:eastAsia="zh-CN"/>
              </w:rPr>
              <w:t>740</w:t>
            </w:r>
          </w:p>
        </w:tc>
      </w:tr>
      <w:tr w14:paraId="435D4B2E">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1042" w:type="dxa"/>
          </w:tcPr>
          <w:p w14:paraId="4E79812D">
            <w:pPr>
              <w:widowControl/>
              <w:jc w:val="center"/>
              <w:rPr>
                <w:rFonts w:hint="eastAsia" w:hAnsi="仿宋_GB2312" w:cs="仿宋_GB2312"/>
                <w:b w:val="0"/>
                <w:bCs w:val="0"/>
                <w:sz w:val="24"/>
                <w:highlight w:val="none"/>
              </w:rPr>
            </w:pPr>
            <w:r>
              <w:rPr>
                <w:rFonts w:hint="eastAsia" w:hAnsi="仿宋_GB2312" w:cs="仿宋_GB2312"/>
                <w:b/>
                <w:bCs/>
                <w:sz w:val="24"/>
                <w:highlight w:val="none"/>
              </w:rPr>
              <w:t>2</w:t>
            </w:r>
          </w:p>
        </w:tc>
        <w:tc>
          <w:tcPr>
            <w:tcW w:w="3842" w:type="dxa"/>
            <w:shd w:val="clear" w:color="auto" w:fill="DEEAF6" w:themeFill="accent5" w:themeFillTint="33"/>
          </w:tcPr>
          <w:p w14:paraId="265D6B73">
            <w:pPr>
              <w:widowControl/>
              <w:jc w:val="center"/>
              <w:rPr>
                <w:rFonts w:hint="eastAsia" w:hAnsi="仿宋_GB2312" w:cs="仿宋_GB2312"/>
                <w:sz w:val="24"/>
                <w:highlight w:val="none"/>
              </w:rPr>
            </w:pPr>
            <w:r>
              <w:rPr>
                <w:rFonts w:hint="eastAsia" w:hAnsi="仿宋_GB2312" w:cs="仿宋_GB2312"/>
                <w:sz w:val="24"/>
                <w:highlight w:val="none"/>
              </w:rPr>
              <w:t>良好率</w:t>
            </w:r>
          </w:p>
        </w:tc>
        <w:tc>
          <w:tcPr>
            <w:tcW w:w="1730" w:type="dxa"/>
          </w:tcPr>
          <w:p w14:paraId="68EFD4EB">
            <w:pPr>
              <w:widowControl/>
              <w:jc w:val="center"/>
              <w:rPr>
                <w:rFonts w:hint="eastAsia" w:hAnsi="仿宋_GB2312" w:cs="仿宋_GB2312"/>
                <w:sz w:val="24"/>
                <w:highlight w:val="none"/>
              </w:rPr>
            </w:pPr>
            <w:r>
              <w:rPr>
                <w:rFonts w:hint="eastAsia" w:hAnsi="仿宋_GB2312" w:cs="仿宋_GB2312"/>
                <w:sz w:val="24"/>
                <w:highlight w:val="none"/>
              </w:rPr>
              <w:t>46.</w:t>
            </w:r>
            <w:r>
              <w:rPr>
                <w:rFonts w:hint="eastAsia" w:hAnsi="仿宋_GB2312" w:cs="仿宋_GB2312"/>
                <w:sz w:val="24"/>
                <w:highlight w:val="none"/>
                <w:lang w:val="en-US" w:eastAsia="zh-CN"/>
              </w:rPr>
              <w:t>77</w:t>
            </w:r>
            <w:r>
              <w:rPr>
                <w:rFonts w:hint="eastAsia" w:hAnsi="仿宋_GB2312" w:cs="仿宋_GB2312"/>
                <w:sz w:val="24"/>
                <w:highlight w:val="none"/>
              </w:rPr>
              <w:t>%</w:t>
            </w:r>
          </w:p>
        </w:tc>
        <w:tc>
          <w:tcPr>
            <w:tcW w:w="2065" w:type="dxa"/>
            <w:shd w:val="clear" w:color="auto" w:fill="DEEAF6" w:themeFill="accent5" w:themeFillTint="33"/>
          </w:tcPr>
          <w:p w14:paraId="53C839C6">
            <w:pPr>
              <w:widowControl/>
              <w:jc w:val="center"/>
              <w:rPr>
                <w:rFonts w:hint="default" w:hAnsi="仿宋_GB2312" w:eastAsia="仿宋_GB2312" w:cs="仿宋_GB2312"/>
                <w:sz w:val="24"/>
                <w:highlight w:val="none"/>
                <w:lang w:val="en-US" w:eastAsia="zh-CN"/>
              </w:rPr>
            </w:pPr>
            <w:r>
              <w:rPr>
                <w:rFonts w:hint="eastAsia" w:hAnsi="仿宋_GB2312" w:cs="仿宋_GB2312"/>
                <w:sz w:val="24"/>
                <w:highlight w:val="none"/>
                <w:lang w:val="en-US" w:eastAsia="zh-CN"/>
              </w:rPr>
              <w:t>985</w:t>
            </w:r>
          </w:p>
        </w:tc>
      </w:tr>
      <w:tr w14:paraId="1835460C">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1042" w:type="dxa"/>
          </w:tcPr>
          <w:p w14:paraId="6D19ECEA">
            <w:pPr>
              <w:widowControl/>
              <w:jc w:val="center"/>
              <w:rPr>
                <w:rFonts w:hint="eastAsia" w:hAnsi="仿宋_GB2312" w:cs="仿宋_GB2312"/>
                <w:b w:val="0"/>
                <w:bCs w:val="0"/>
                <w:sz w:val="24"/>
                <w:highlight w:val="none"/>
              </w:rPr>
            </w:pPr>
            <w:r>
              <w:rPr>
                <w:rFonts w:hint="eastAsia" w:hAnsi="仿宋_GB2312" w:cs="仿宋_GB2312"/>
                <w:b/>
                <w:bCs/>
                <w:sz w:val="24"/>
                <w:highlight w:val="none"/>
              </w:rPr>
              <w:t>3</w:t>
            </w:r>
          </w:p>
        </w:tc>
        <w:tc>
          <w:tcPr>
            <w:tcW w:w="3842" w:type="dxa"/>
            <w:shd w:val="clear" w:color="auto" w:fill="DEEAF6" w:themeFill="accent5" w:themeFillTint="33"/>
          </w:tcPr>
          <w:p w14:paraId="16A2B89C">
            <w:pPr>
              <w:widowControl/>
              <w:jc w:val="center"/>
              <w:rPr>
                <w:rFonts w:hint="eastAsia" w:hAnsi="仿宋_GB2312" w:cs="仿宋_GB2312"/>
                <w:sz w:val="24"/>
                <w:highlight w:val="none"/>
              </w:rPr>
            </w:pPr>
            <w:r>
              <w:rPr>
                <w:rFonts w:hint="eastAsia" w:hAnsi="仿宋_GB2312" w:cs="仿宋_GB2312"/>
                <w:sz w:val="24"/>
                <w:highlight w:val="none"/>
              </w:rPr>
              <w:t>合格率</w:t>
            </w:r>
          </w:p>
        </w:tc>
        <w:tc>
          <w:tcPr>
            <w:tcW w:w="1730" w:type="dxa"/>
          </w:tcPr>
          <w:p w14:paraId="7B90E5DA">
            <w:pPr>
              <w:widowControl/>
              <w:jc w:val="center"/>
              <w:rPr>
                <w:rFonts w:hint="eastAsia" w:hAnsi="仿宋_GB2312" w:cs="仿宋_GB2312"/>
                <w:sz w:val="24"/>
                <w:highlight w:val="none"/>
              </w:rPr>
            </w:pPr>
            <w:r>
              <w:rPr>
                <w:rFonts w:hint="eastAsia" w:hAnsi="仿宋_GB2312" w:cs="仿宋_GB2312"/>
                <w:sz w:val="24"/>
                <w:highlight w:val="none"/>
              </w:rPr>
              <w:t>18.</w:t>
            </w:r>
            <w:r>
              <w:rPr>
                <w:rFonts w:hint="eastAsia" w:hAnsi="仿宋_GB2312" w:cs="仿宋_GB2312"/>
                <w:sz w:val="24"/>
                <w:highlight w:val="none"/>
                <w:lang w:val="en-US" w:eastAsia="zh-CN"/>
              </w:rPr>
              <w:t>04</w:t>
            </w:r>
            <w:r>
              <w:rPr>
                <w:rFonts w:hint="eastAsia" w:hAnsi="仿宋_GB2312" w:cs="仿宋_GB2312"/>
                <w:sz w:val="24"/>
                <w:highlight w:val="none"/>
              </w:rPr>
              <w:t>%</w:t>
            </w:r>
          </w:p>
        </w:tc>
        <w:tc>
          <w:tcPr>
            <w:tcW w:w="2065" w:type="dxa"/>
            <w:shd w:val="clear" w:color="auto" w:fill="DEEAF6" w:themeFill="accent5" w:themeFillTint="33"/>
          </w:tcPr>
          <w:p w14:paraId="00CECA58">
            <w:pPr>
              <w:widowControl/>
              <w:jc w:val="center"/>
              <w:rPr>
                <w:rFonts w:hint="default" w:hAnsi="仿宋_GB2312" w:eastAsia="仿宋_GB2312" w:cs="仿宋_GB2312"/>
                <w:sz w:val="24"/>
                <w:highlight w:val="none"/>
                <w:lang w:val="en-US" w:eastAsia="zh-CN"/>
              </w:rPr>
            </w:pPr>
            <w:r>
              <w:rPr>
                <w:rFonts w:hint="eastAsia" w:hAnsi="仿宋_GB2312" w:cs="仿宋_GB2312"/>
                <w:sz w:val="24"/>
                <w:highlight w:val="none"/>
                <w:lang w:val="en-US" w:eastAsia="zh-CN"/>
              </w:rPr>
              <w:t>380</w:t>
            </w:r>
          </w:p>
        </w:tc>
      </w:tr>
      <w:tr w14:paraId="3FC05ADE">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c>
          <w:tcPr>
            <w:tcW w:w="1042" w:type="dxa"/>
          </w:tcPr>
          <w:p w14:paraId="4ECCF70D">
            <w:pPr>
              <w:widowControl/>
              <w:jc w:val="center"/>
              <w:rPr>
                <w:rFonts w:hint="eastAsia" w:hAnsi="仿宋_GB2312" w:cs="仿宋_GB2312"/>
                <w:b w:val="0"/>
                <w:bCs w:val="0"/>
                <w:sz w:val="24"/>
                <w:highlight w:val="none"/>
              </w:rPr>
            </w:pPr>
            <w:r>
              <w:rPr>
                <w:rFonts w:hint="eastAsia" w:hAnsi="仿宋_GB2312" w:cs="仿宋_GB2312"/>
                <w:b/>
                <w:bCs/>
                <w:sz w:val="24"/>
                <w:highlight w:val="none"/>
              </w:rPr>
              <w:t>4</w:t>
            </w:r>
          </w:p>
        </w:tc>
        <w:tc>
          <w:tcPr>
            <w:tcW w:w="3842" w:type="dxa"/>
            <w:shd w:val="clear" w:color="auto" w:fill="DEEAF6" w:themeFill="accent5" w:themeFillTint="33"/>
          </w:tcPr>
          <w:p w14:paraId="282E9803">
            <w:pPr>
              <w:widowControl/>
              <w:jc w:val="center"/>
              <w:rPr>
                <w:rFonts w:hint="eastAsia" w:hAnsi="仿宋_GB2312" w:cs="仿宋_GB2312"/>
                <w:sz w:val="24"/>
                <w:highlight w:val="none"/>
              </w:rPr>
            </w:pPr>
            <w:r>
              <w:rPr>
                <w:rFonts w:hint="eastAsia" w:hAnsi="仿宋_GB2312" w:cs="仿宋_GB2312"/>
                <w:sz w:val="24"/>
                <w:highlight w:val="none"/>
              </w:rPr>
              <w:t>不合格率</w:t>
            </w:r>
          </w:p>
        </w:tc>
        <w:tc>
          <w:tcPr>
            <w:tcW w:w="1730" w:type="dxa"/>
          </w:tcPr>
          <w:p w14:paraId="1E8A64A3">
            <w:pPr>
              <w:widowControl/>
              <w:jc w:val="center"/>
              <w:rPr>
                <w:rFonts w:hint="eastAsia" w:hAnsi="仿宋_GB2312" w:cs="仿宋_GB2312"/>
                <w:sz w:val="24"/>
                <w:highlight w:val="none"/>
              </w:rPr>
            </w:pPr>
            <w:r>
              <w:rPr>
                <w:rFonts w:hint="eastAsia" w:hAnsi="仿宋_GB2312" w:cs="仿宋_GB2312"/>
                <w:sz w:val="24"/>
                <w:highlight w:val="none"/>
              </w:rPr>
              <w:t>0.0</w:t>
            </w:r>
            <w:r>
              <w:rPr>
                <w:rFonts w:hint="eastAsia" w:hAnsi="仿宋_GB2312" w:cs="仿宋_GB2312"/>
                <w:sz w:val="24"/>
                <w:highlight w:val="none"/>
                <w:lang w:val="en-US" w:eastAsia="zh-CN"/>
              </w:rPr>
              <w:t>5</w:t>
            </w:r>
            <w:r>
              <w:rPr>
                <w:rFonts w:hint="eastAsia" w:hAnsi="仿宋_GB2312" w:cs="仿宋_GB2312"/>
                <w:sz w:val="24"/>
                <w:highlight w:val="none"/>
              </w:rPr>
              <w:t>%</w:t>
            </w:r>
          </w:p>
        </w:tc>
        <w:tc>
          <w:tcPr>
            <w:tcW w:w="2065" w:type="dxa"/>
            <w:shd w:val="clear" w:color="auto" w:fill="DEEAF6" w:themeFill="accent5" w:themeFillTint="33"/>
          </w:tcPr>
          <w:p w14:paraId="3E4387DF">
            <w:pPr>
              <w:widowControl/>
              <w:jc w:val="center"/>
              <w:rPr>
                <w:rFonts w:hint="eastAsia" w:hAnsi="仿宋_GB2312" w:cs="仿宋_GB2312"/>
                <w:sz w:val="24"/>
                <w:highlight w:val="none"/>
              </w:rPr>
            </w:pPr>
            <w:r>
              <w:rPr>
                <w:rFonts w:hint="eastAsia" w:hAnsi="仿宋_GB2312" w:cs="仿宋_GB2312"/>
                <w:sz w:val="24"/>
                <w:highlight w:val="none"/>
              </w:rPr>
              <w:t>1</w:t>
            </w:r>
          </w:p>
        </w:tc>
      </w:tr>
    </w:tbl>
    <w:p w14:paraId="516ABCDB">
      <w:pPr>
        <w:pStyle w:val="3"/>
        <w:ind w:left="0" w:leftChars="0" w:firstLine="643" w:firstLineChars="200"/>
        <w:rPr>
          <w:rFonts w:hint="eastAsia"/>
        </w:rPr>
      </w:pPr>
      <w:bookmarkStart w:id="7" w:name="_Toc187608099"/>
      <w:r>
        <w:rPr>
          <w:rFonts w:hint="eastAsia"/>
        </w:rPr>
        <w:t>2.2多样成才</w:t>
      </w:r>
      <w:bookmarkEnd w:id="7"/>
    </w:p>
    <w:p w14:paraId="06DBFEF8">
      <w:pPr>
        <w:ind w:firstLine="645"/>
        <w:rPr>
          <w:rFonts w:hint="eastAsia"/>
        </w:rPr>
      </w:pPr>
      <w:r>
        <w:rPr>
          <w:rFonts w:hint="eastAsia"/>
        </w:rPr>
        <w:t>学校不断探索人才培养质量提升的新路径，继续推进以高考升学与职业培养双模式的办学培养模式，并借力山东省职教高考新政策，扩大春季高考招生培养规模。</w:t>
      </w:r>
    </w:p>
    <w:p w14:paraId="40D128AA">
      <w:pPr>
        <w:ind w:firstLine="645"/>
        <w:rPr>
          <w:rFonts w:hint="eastAsia"/>
        </w:rPr>
      </w:pPr>
      <w:r>
        <w:rPr>
          <w:rFonts w:hint="eastAsia"/>
        </w:rPr>
        <w:t>2024年，学校毕业生</w:t>
      </w:r>
      <w:r>
        <w:rPr>
          <w:rFonts w:hint="eastAsia"/>
          <w:lang w:val="en-US" w:eastAsia="zh-CN"/>
        </w:rPr>
        <w:t>1217</w:t>
      </w:r>
      <w:r>
        <w:rPr>
          <w:rFonts w:hint="eastAsia"/>
        </w:rPr>
        <w:t>人，其中，直接就业</w:t>
      </w:r>
      <w:r>
        <w:rPr>
          <w:rFonts w:hint="eastAsia"/>
          <w:lang w:val="en-US" w:eastAsia="zh-CN"/>
        </w:rPr>
        <w:t>466</w:t>
      </w:r>
      <w:r>
        <w:rPr>
          <w:rFonts w:hint="eastAsia"/>
        </w:rPr>
        <w:t>人，升学</w:t>
      </w:r>
      <w:r>
        <w:rPr>
          <w:rFonts w:hint="eastAsia"/>
          <w:lang w:val="en-US" w:eastAsia="zh-CN"/>
        </w:rPr>
        <w:t>751</w:t>
      </w:r>
      <w:r>
        <w:rPr>
          <w:rFonts w:hint="eastAsia"/>
        </w:rPr>
        <w:t>人。在直接就业学生中，灵活就业人数370人，自主创业2人。在升学学生中，</w:t>
      </w:r>
      <w:r>
        <w:rPr>
          <w:rFonts w:hint="eastAsia"/>
          <w:lang w:val="en-US" w:eastAsia="zh-CN"/>
        </w:rPr>
        <w:t>71</w:t>
      </w:r>
      <w:r>
        <w:rPr>
          <w:rFonts w:hint="eastAsia"/>
        </w:rPr>
        <w:t>人升入本科</w:t>
      </w:r>
      <w:r>
        <w:rPr>
          <w:rFonts w:hint="eastAsia"/>
          <w:lang w:eastAsia="zh-CN"/>
        </w:rPr>
        <w:t>，贯通培养</w:t>
      </w:r>
      <w:r>
        <w:rPr>
          <w:rFonts w:hint="eastAsia"/>
          <w:lang w:val="en-US" w:eastAsia="zh-CN"/>
        </w:rPr>
        <w:t>284人</w:t>
      </w:r>
      <w:r>
        <w:rPr>
          <w:rFonts w:hint="eastAsia"/>
        </w:rPr>
        <w:t>。升学、直接就业人数共</w:t>
      </w:r>
      <w:r>
        <w:rPr>
          <w:rFonts w:hint="eastAsia"/>
          <w:lang w:val="en-US" w:eastAsia="zh-CN"/>
        </w:rPr>
        <w:t>1215</w:t>
      </w:r>
      <w:r>
        <w:rPr>
          <w:rFonts w:hint="eastAsia"/>
        </w:rPr>
        <w:t>人，就业率达</w:t>
      </w:r>
      <w:r>
        <w:rPr>
          <w:rFonts w:hint="eastAsia"/>
          <w:lang w:val="en-US" w:eastAsia="zh-CN"/>
        </w:rPr>
        <w:t>99.8</w:t>
      </w:r>
      <w:r>
        <w:rPr>
          <w:rFonts w:hint="eastAsia"/>
        </w:rPr>
        <w:t>%（详见表2-2）。</w:t>
      </w:r>
    </w:p>
    <w:p w14:paraId="3311E0EB">
      <w:pPr>
        <w:widowControl/>
        <w:jc w:val="center"/>
        <w:rPr>
          <w:rFonts w:hint="eastAsia"/>
        </w:rPr>
      </w:pPr>
      <w:r>
        <w:drawing>
          <wp:anchor distT="0" distB="0" distL="114300" distR="114300" simplePos="0" relativeHeight="251664384" behindDoc="0" locked="0" layoutInCell="1" allowOverlap="1">
            <wp:simplePos x="0" y="0"/>
            <wp:positionH relativeFrom="margin">
              <wp:posOffset>104775</wp:posOffset>
            </wp:positionH>
            <wp:positionV relativeFrom="margin">
              <wp:posOffset>6488430</wp:posOffset>
            </wp:positionV>
            <wp:extent cx="5330825" cy="2173605"/>
            <wp:effectExtent l="4445" t="4445" r="17780" b="12700"/>
            <wp:wrapSquare wrapText="bothSides"/>
            <wp:docPr id="10775605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hint="eastAsia" w:hAnsi="仿宋_GB2312" w:cs="仿宋_GB2312"/>
          <w:b/>
          <w:bCs/>
          <w:sz w:val="24"/>
        </w:rPr>
        <w:t>表2-2  临沂艺术学校2024年毕业生去向统计表</w:t>
      </w:r>
      <w:bookmarkStart w:id="8" w:name="_Toc187608100"/>
    </w:p>
    <w:p w14:paraId="4FEE6512">
      <w:pPr>
        <w:pStyle w:val="3"/>
        <w:ind w:left="640"/>
        <w:rPr>
          <w:rFonts w:hint="eastAsia"/>
        </w:rPr>
      </w:pPr>
      <w:r>
        <w:rPr>
          <w:rFonts w:hint="eastAsia"/>
        </w:rPr>
        <w:t>2.3技能成才</w:t>
      </w:r>
      <w:bookmarkEnd w:id="8"/>
    </w:p>
    <w:p w14:paraId="07A84B3E">
      <w:pPr>
        <w:ind w:firstLine="645"/>
        <w:rPr>
          <w:rFonts w:hint="eastAsia"/>
        </w:rPr>
      </w:pPr>
      <w:r>
        <w:rPr>
          <w:rFonts w:hint="eastAsia"/>
        </w:rPr>
        <w:t>技能大赛佳绩连连。学校坚持以赛促学、以赛促教、以赛促建、以赛促融，学生参赛成绩显著提升，涌现出一批标志性成果。</w:t>
      </w:r>
      <w:r>
        <w:rPr>
          <w:rFonts w:hint="eastAsia"/>
          <w:lang w:val="en-US" w:eastAsia="zh-CN"/>
        </w:rPr>
        <w:t>2024-</w:t>
      </w:r>
      <w:r>
        <w:rPr>
          <w:rFonts w:hint="eastAsia"/>
        </w:rPr>
        <w:t>202</w:t>
      </w:r>
      <w:r>
        <w:rPr>
          <w:rFonts w:hint="eastAsia"/>
          <w:lang w:val="en-US" w:eastAsia="zh-CN"/>
        </w:rPr>
        <w:t>5学</w:t>
      </w:r>
      <w:r>
        <w:rPr>
          <w:rFonts w:hint="eastAsia"/>
        </w:rPr>
        <w:t>年，</w:t>
      </w:r>
      <w:r>
        <w:rPr>
          <w:rFonts w:hint="eastAsia"/>
          <w:lang w:eastAsia="zh-CN"/>
        </w:rPr>
        <w:t>音乐表演专业学生团队在世界职业院校技能大赛总决赛“表演艺术”赛项中斩获铜牌；</w:t>
      </w:r>
      <w:r>
        <w:rPr>
          <w:rFonts w:hint="eastAsia"/>
        </w:rPr>
        <w:t>在山东省职业院校技能大赛中，刘梓婳同学获美术造型赛项一等奖，林俊熙、顾然、韩子君获声乐、器乐表演赛项一等奖；在临沂市职业院校技能大赛中，学校承办赛事2项，获得一等奖3个，二等奖1个，三等奖3个</w:t>
      </w:r>
      <w:r>
        <w:rPr>
          <w:rFonts w:hint="eastAsia"/>
          <w:lang w:eastAsia="zh-CN"/>
        </w:rPr>
        <w:t>。</w:t>
      </w:r>
      <w:r>
        <w:rPr>
          <w:rFonts w:hint="eastAsia"/>
        </w:rPr>
        <w:t>在中国职业模特大赛中，许子艺获十佳女模特</w:t>
      </w:r>
      <w:r>
        <w:rPr>
          <w:rFonts w:hint="eastAsia"/>
          <w:lang w:eastAsia="zh-CN"/>
        </w:rPr>
        <w:t>。于祥宇在全国第八届中小学艺术展演中获得一等奖；</w:t>
      </w:r>
      <w:r>
        <w:rPr>
          <w:rFonts w:hint="eastAsia"/>
        </w:rPr>
        <w:t>在山东省</w:t>
      </w:r>
      <w:r>
        <w:rPr>
          <w:rFonts w:hint="eastAsia"/>
          <w:lang w:eastAsia="zh-CN"/>
        </w:rPr>
        <w:t>第八届</w:t>
      </w:r>
      <w:r>
        <w:rPr>
          <w:rFonts w:hint="eastAsia"/>
        </w:rPr>
        <w:t>中小学艺术展演中获得一等奖2个，二等奖2个，三等奖2个，在</w:t>
      </w:r>
      <w:r>
        <w:rPr>
          <w:rFonts w:hint="eastAsia"/>
          <w:lang w:eastAsia="zh-CN"/>
        </w:rPr>
        <w:t>第七届中华经典书写大赛山东赛事中</w:t>
      </w:r>
      <w:r>
        <w:rPr>
          <w:rFonts w:hint="eastAsia"/>
        </w:rPr>
        <w:t>获得</w:t>
      </w:r>
      <w:r>
        <w:rPr>
          <w:rFonts w:hint="eastAsia"/>
          <w:lang w:eastAsia="zh-CN"/>
        </w:rPr>
        <w:t>一等奖</w:t>
      </w:r>
      <w:r>
        <w:rPr>
          <w:rFonts w:hint="eastAsia"/>
          <w:lang w:val="en-US" w:eastAsia="zh-CN"/>
        </w:rPr>
        <w:t>2个，二等奖1个，三等奖1个</w:t>
      </w:r>
      <w:r>
        <w:rPr>
          <w:rFonts w:hint="eastAsia"/>
        </w:rPr>
        <w:t>。</w:t>
      </w:r>
    </w:p>
    <w:p w14:paraId="5E5B4BFC">
      <w:pPr>
        <w:ind w:firstLine="645"/>
        <w:rPr>
          <w:rFonts w:hint="eastAsia"/>
        </w:rPr>
      </w:pPr>
      <w:r>
        <w:rPr>
          <w:rFonts w:hint="eastAsia"/>
        </w:rPr>
        <w:t>贯通培养规模扩大。为培养更多高层次技能人才，学校积极探索贯通升学发力点，202</w:t>
      </w:r>
      <w:r>
        <w:rPr>
          <w:rFonts w:hint="eastAsia"/>
          <w:lang w:val="en-US" w:eastAsia="zh-CN"/>
        </w:rPr>
        <w:t>5</w:t>
      </w:r>
      <w:r>
        <w:rPr>
          <w:rFonts w:hint="eastAsia"/>
        </w:rPr>
        <w:t>年，新增中高职“3+2”贯通培养专业点</w:t>
      </w:r>
      <w:r>
        <w:rPr>
          <w:rFonts w:hint="eastAsia"/>
          <w:lang w:val="en-US" w:eastAsia="zh-CN"/>
        </w:rPr>
        <w:t>1</w:t>
      </w:r>
      <w:r>
        <w:rPr>
          <w:rFonts w:hint="eastAsia"/>
        </w:rPr>
        <w:t>个，与</w:t>
      </w:r>
      <w:r>
        <w:rPr>
          <w:rFonts w:hint="eastAsia"/>
          <w:lang w:eastAsia="zh-CN"/>
        </w:rPr>
        <w:t>山东省文化艺术职业学院</w:t>
      </w:r>
      <w:r>
        <w:rPr>
          <w:rFonts w:hint="eastAsia"/>
        </w:rPr>
        <w:t>合作，招收</w:t>
      </w:r>
      <w:r>
        <w:rPr>
          <w:rFonts w:hint="eastAsia"/>
          <w:lang w:eastAsia="zh-CN"/>
        </w:rPr>
        <w:t>文物保护技术</w:t>
      </w:r>
      <w:r>
        <w:rPr>
          <w:rFonts w:hint="eastAsia"/>
        </w:rPr>
        <w:t>专业学生</w:t>
      </w:r>
      <w:r>
        <w:rPr>
          <w:rFonts w:hint="eastAsia"/>
          <w:lang w:val="en-US" w:eastAsia="zh-CN"/>
        </w:rPr>
        <w:t>30</w:t>
      </w:r>
      <w:r>
        <w:rPr>
          <w:rFonts w:hint="eastAsia"/>
        </w:rPr>
        <w:t>人。</w:t>
      </w:r>
    </w:p>
    <w:p w14:paraId="6F7EE0CE">
      <w:pPr>
        <w:ind w:firstLine="645"/>
        <w:rPr>
          <w:rFonts w:hint="eastAsia" w:eastAsia="仿宋_GB2312"/>
          <w:lang w:val="en-US" w:eastAsia="zh-CN"/>
        </w:rPr>
      </w:pPr>
      <w:r>
        <w:rPr>
          <w:rFonts w:hint="eastAsia"/>
        </w:rPr>
        <w:t>教研科研喜获突破。在职业院校技能大赛教师能力比赛中，临沂艺术学校获得中职班主任能力比赛省赛二等奖、思想政治课程教学能力比赛二等奖</w:t>
      </w:r>
      <w:r>
        <w:rPr>
          <w:rFonts w:hint="eastAsia"/>
          <w:lang w:eastAsia="zh-CN"/>
        </w:rPr>
        <w:t>、山东省中等职业学校优质课评选活动二等奖，</w:t>
      </w:r>
      <w:r>
        <w:rPr>
          <w:rFonts w:hint="eastAsia"/>
        </w:rPr>
        <w:t>实现了思想政治教学能力比赛“零”的突破。结题</w:t>
      </w:r>
      <w:r>
        <w:rPr>
          <w:rFonts w:hint="eastAsia"/>
          <w:lang w:eastAsia="zh-CN"/>
        </w:rPr>
        <w:t>临沂市教育科学规划课题</w:t>
      </w:r>
      <w:r>
        <w:rPr>
          <w:rFonts w:hint="eastAsia"/>
          <w:lang w:val="en-US" w:eastAsia="zh-CN"/>
        </w:rPr>
        <w:t>1项，</w:t>
      </w:r>
      <w:r>
        <w:rPr>
          <w:rFonts w:hint="eastAsia"/>
        </w:rPr>
        <w:t>山东省职业技术教育学会教育科研课题3项，临沂市社会科学界联合会课题2项</w:t>
      </w:r>
      <w:r>
        <w:rPr>
          <w:rFonts w:hint="eastAsia"/>
          <w:lang w:eastAsia="zh-CN"/>
        </w:rPr>
        <w:t>。立项山东省教育教学研究课题</w:t>
      </w:r>
      <w:r>
        <w:rPr>
          <w:rFonts w:hint="eastAsia"/>
          <w:lang w:val="en-US" w:eastAsia="zh-CN"/>
        </w:rPr>
        <w:t>1项，山东省职业教育教学改革研究项目1项，</w:t>
      </w:r>
      <w:r>
        <w:rPr>
          <w:rFonts w:hint="eastAsia"/>
          <w:lang w:eastAsia="zh-CN"/>
        </w:rPr>
        <w:t>临沂市教育科学规划课题</w:t>
      </w:r>
      <w:r>
        <w:rPr>
          <w:rFonts w:hint="eastAsia"/>
          <w:lang w:val="en-US" w:eastAsia="zh-CN"/>
        </w:rPr>
        <w:t>1项，</w:t>
      </w:r>
      <w:r>
        <w:rPr>
          <w:rFonts w:hint="eastAsia"/>
        </w:rPr>
        <w:t>山东省职业技术教育学会教育科研课题</w:t>
      </w:r>
      <w:r>
        <w:rPr>
          <w:rFonts w:hint="eastAsia"/>
          <w:lang w:val="en-US" w:eastAsia="zh-CN"/>
        </w:rPr>
        <w:t>1</w:t>
      </w:r>
      <w:r>
        <w:rPr>
          <w:rFonts w:hint="eastAsia"/>
        </w:rPr>
        <w:t>项</w:t>
      </w:r>
      <w:r>
        <w:rPr>
          <w:rFonts w:hint="eastAsia"/>
          <w:lang w:eastAsia="zh-CN"/>
        </w:rPr>
        <w:t>。</w:t>
      </w:r>
    </w:p>
    <w:p w14:paraId="71832C01">
      <w:pPr>
        <w:ind w:firstLine="645"/>
        <w:rPr>
          <w:rFonts w:hint="eastAsia"/>
          <w:highlight w:val="none"/>
        </w:rPr>
      </w:pPr>
      <w:r>
        <w:rPr>
          <w:rFonts w:hint="eastAsia"/>
          <w:highlight w:val="none"/>
        </w:rPr>
        <w:t>榜样典范引领成长。学校重视朋辈榜样的引领示范作用，对表现突出的学生和集体进行表彰，对全体学生进行激励。其中，4位同学获得党和政府授予的国家教学金。此外学校特别设立校级奖学金，结合学习成绩、道德表现、专业技能等综合评定，在全校范围内评出</w:t>
      </w:r>
      <w:r>
        <w:rPr>
          <w:rFonts w:hint="eastAsia"/>
          <w:highlight w:val="none"/>
          <w:lang w:val="en-US" w:eastAsia="zh-CN"/>
        </w:rPr>
        <w:t>147</w:t>
      </w:r>
      <w:r>
        <w:rPr>
          <w:rFonts w:hint="eastAsia"/>
          <w:highlight w:val="none"/>
        </w:rPr>
        <w:t>位获得者。</w:t>
      </w:r>
    </w:p>
    <w:p w14:paraId="6D6B6E99">
      <w:pPr>
        <w:pStyle w:val="3"/>
        <w:ind w:left="640"/>
        <w:rPr>
          <w:rFonts w:hint="eastAsia"/>
        </w:rPr>
      </w:pPr>
      <w:bookmarkStart w:id="9" w:name="_Toc187608101"/>
      <w:r>
        <w:rPr>
          <w:rFonts w:hint="eastAsia"/>
        </w:rPr>
        <w:t>2.4职业发展</w:t>
      </w:r>
      <w:bookmarkEnd w:id="9"/>
    </w:p>
    <w:p w14:paraId="4D7EC344">
      <w:pPr>
        <w:ind w:firstLine="640" w:firstLineChars="200"/>
        <w:rPr>
          <w:rFonts w:hint="eastAsia"/>
        </w:rPr>
      </w:pPr>
      <w:r>
        <w:rPr>
          <w:rFonts w:hint="eastAsia"/>
        </w:rPr>
        <w:t>服务地方经济，开展公益职业技能培训。学校将职业技能培训工作纳入常规，制定培训计划，完善相关制度规范，积极组织专业骨干教师参与培训工作，截至</w:t>
      </w:r>
      <w:r>
        <w:rPr>
          <w:rFonts w:hint="eastAsia"/>
          <w:lang w:val="en-US" w:eastAsia="zh-CN"/>
        </w:rPr>
        <w:t>2025</w:t>
      </w:r>
      <w:r>
        <w:rPr>
          <w:rFonts w:hint="eastAsia"/>
        </w:rPr>
        <w:t>年底，共开展职业技能培训</w:t>
      </w:r>
      <w:r>
        <w:rPr>
          <w:rFonts w:hint="eastAsia"/>
          <w:lang w:val="en-US" w:eastAsia="zh-CN"/>
        </w:rPr>
        <w:t>3950</w:t>
      </w:r>
      <w:r>
        <w:rPr>
          <w:rFonts w:hint="eastAsia"/>
        </w:rPr>
        <w:t>人次。</w:t>
      </w:r>
    </w:p>
    <w:p w14:paraId="1315DFE6">
      <w:pPr>
        <w:ind w:firstLine="640" w:firstLineChars="200"/>
        <w:rPr>
          <w:rFonts w:hint="eastAsia"/>
          <w:highlight w:val="none"/>
        </w:rPr>
      </w:pPr>
      <w:r>
        <w:rPr>
          <w:rFonts w:hint="eastAsia"/>
          <w:highlight w:val="none"/>
        </w:rPr>
        <w:t>提升育人质量，贯彻职业证书培训考核。2024</w:t>
      </w:r>
      <w:r>
        <w:rPr>
          <w:rFonts w:hint="eastAsia"/>
          <w:highlight w:val="none"/>
          <w:lang w:val="en-US" w:eastAsia="zh-CN"/>
        </w:rPr>
        <w:t>-2025学</w:t>
      </w:r>
      <w:r>
        <w:rPr>
          <w:rFonts w:hint="eastAsia"/>
          <w:highlight w:val="none"/>
        </w:rPr>
        <w:t>年，学校继续贯彻“课证融通”，组织</w:t>
      </w:r>
      <w:r>
        <w:rPr>
          <w:rFonts w:hint="eastAsia"/>
          <w:highlight w:val="none"/>
          <w:lang w:val="en-US" w:eastAsia="zh-CN"/>
        </w:rPr>
        <w:t>488</w:t>
      </w:r>
      <w:r>
        <w:rPr>
          <w:rFonts w:hint="eastAsia"/>
          <w:highlight w:val="none"/>
        </w:rPr>
        <w:t>名应届毕业生参加1+X职业技能等级证书的培训与考核。其中，</w:t>
      </w:r>
      <w:r>
        <w:rPr>
          <w:rFonts w:hint="eastAsia"/>
          <w:highlight w:val="none"/>
          <w:lang w:val="en-US" w:eastAsia="zh-CN"/>
        </w:rPr>
        <w:t>292</w:t>
      </w:r>
      <w:r>
        <w:rPr>
          <w:rFonts w:hint="eastAsia"/>
          <w:highlight w:val="none"/>
        </w:rPr>
        <w:t>名毕业生取得幼儿照护职业技能等级证书，</w:t>
      </w:r>
      <w:r>
        <w:rPr>
          <w:rFonts w:hint="eastAsia"/>
          <w:highlight w:val="none"/>
          <w:lang w:val="en-US" w:eastAsia="zh-CN"/>
        </w:rPr>
        <w:t>85</w:t>
      </w:r>
      <w:r>
        <w:rPr>
          <w:rFonts w:hint="eastAsia"/>
          <w:highlight w:val="none"/>
        </w:rPr>
        <w:t>名毕业生取得</w:t>
      </w:r>
      <w:r>
        <w:rPr>
          <w:rFonts w:hint="eastAsia"/>
          <w:highlight w:val="none"/>
          <w:lang w:eastAsia="zh-CN"/>
        </w:rPr>
        <w:t>器乐艺术指导</w:t>
      </w:r>
      <w:r>
        <w:rPr>
          <w:rFonts w:hint="eastAsia"/>
          <w:highlight w:val="none"/>
        </w:rPr>
        <w:t>职业技能等级证书，</w:t>
      </w:r>
      <w:r>
        <w:rPr>
          <w:rFonts w:hint="eastAsia"/>
          <w:highlight w:val="none"/>
          <w:lang w:val="en-US" w:eastAsia="zh-CN"/>
        </w:rPr>
        <w:t>111</w:t>
      </w:r>
      <w:r>
        <w:rPr>
          <w:rFonts w:hint="eastAsia"/>
          <w:highlight w:val="none"/>
        </w:rPr>
        <w:t>名毕业生取得数字影像处理职业技能等级证书。</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30"/>
      </w:tblGrid>
      <w:tr w14:paraId="7D2E2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30" w:type="dxa"/>
            <w:vAlign w:val="center"/>
          </w:tcPr>
          <w:p w14:paraId="493B2603">
            <w:pPr>
              <w:tabs>
                <w:tab w:val="left" w:pos="1125"/>
              </w:tabs>
              <w:spacing w:line="240" w:lineRule="auto"/>
              <w:jc w:val="center"/>
              <w:rPr>
                <w:rFonts w:hint="eastAsia"/>
              </w:rPr>
            </w:pPr>
            <w:r>
              <w:rPr>
                <w:rFonts w:hint="eastAsia"/>
              </w:rPr>
              <w:drawing>
                <wp:inline distT="0" distB="0" distL="0" distR="0">
                  <wp:extent cx="5471795" cy="4103370"/>
                  <wp:effectExtent l="0" t="0" r="0" b="0"/>
                  <wp:docPr id="1794353014" name="图片 179435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53014" name="图片 179435301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72000" cy="4104001"/>
                          </a:xfrm>
                          <a:prstGeom prst="rect">
                            <a:avLst/>
                          </a:prstGeom>
                          <a:ln>
                            <a:noFill/>
                          </a:ln>
                        </pic:spPr>
                      </pic:pic>
                    </a:graphicData>
                  </a:graphic>
                </wp:inline>
              </w:drawing>
            </w:r>
          </w:p>
        </w:tc>
      </w:tr>
      <w:tr w14:paraId="6FFDD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730" w:type="dxa"/>
            <w:vAlign w:val="center"/>
          </w:tcPr>
          <w:p w14:paraId="6ED156DA">
            <w:pPr>
              <w:tabs>
                <w:tab w:val="left" w:pos="1125"/>
              </w:tabs>
              <w:spacing w:line="240" w:lineRule="auto"/>
              <w:jc w:val="center"/>
              <w:rPr>
                <w:rFonts w:hint="eastAsia"/>
                <w:b/>
                <w:bCs/>
              </w:rPr>
            </w:pPr>
            <w:r>
              <w:rPr>
                <w:rFonts w:hint="eastAsia"/>
                <w:b/>
                <w:bCs/>
                <w:sz w:val="24"/>
                <w:szCs w:val="21"/>
                <w:highlight w:val="none"/>
              </w:rPr>
              <w:t>图2</w:t>
            </w:r>
            <w:r>
              <w:rPr>
                <w:b/>
                <w:bCs/>
                <w:sz w:val="24"/>
                <w:szCs w:val="21"/>
                <w:highlight w:val="none"/>
              </w:rPr>
              <w:t>-</w:t>
            </w:r>
            <w:r>
              <w:rPr>
                <w:rFonts w:hint="eastAsia"/>
                <w:b/>
                <w:bCs/>
                <w:sz w:val="24"/>
                <w:szCs w:val="21"/>
                <w:highlight w:val="none"/>
                <w:lang w:val="en-US" w:eastAsia="zh-CN"/>
              </w:rPr>
              <w:t>3</w:t>
            </w:r>
            <w:r>
              <w:rPr>
                <w:b/>
                <w:bCs/>
                <w:sz w:val="24"/>
                <w:szCs w:val="21"/>
                <w:highlight w:val="none"/>
              </w:rPr>
              <w:t xml:space="preserve">  </w:t>
            </w:r>
            <w:r>
              <w:rPr>
                <w:rFonts w:hint="eastAsia"/>
                <w:b/>
                <w:bCs/>
                <w:sz w:val="24"/>
                <w:szCs w:val="21"/>
                <w:highlight w:val="none"/>
              </w:rPr>
              <w:t>1+X数字影像处理职业技能等级证书认证考试现场</w:t>
            </w:r>
          </w:p>
        </w:tc>
      </w:tr>
    </w:tbl>
    <w:p w14:paraId="1D1FC4BD">
      <w:pPr>
        <w:rPr>
          <w:rFonts w:hint="eastAsia" w:ascii="黑体" w:hAnsi="黑体" w:eastAsia="黑体"/>
          <w:b/>
          <w:bCs/>
          <w:highlight w:val="none"/>
        </w:rPr>
      </w:pPr>
      <w:r>
        <w:rPr>
          <w:rFonts w:hint="eastAsia" w:ascii="黑体" w:hAnsi="黑体" w:eastAsia="黑体"/>
          <w:b/>
          <w:bCs/>
          <w:highlight w:val="none"/>
        </w:rPr>
        <w:t>【案例2-</w:t>
      </w:r>
      <w:r>
        <w:rPr>
          <w:rFonts w:hint="eastAsia" w:ascii="黑体" w:hAnsi="黑体" w:eastAsia="黑体"/>
          <w:b/>
          <w:bCs/>
          <w:highlight w:val="none"/>
          <w:lang w:val="en-US" w:eastAsia="zh-CN"/>
        </w:rPr>
        <w:t>1</w:t>
      </w:r>
      <w:r>
        <w:rPr>
          <w:rFonts w:hint="eastAsia" w:ascii="黑体" w:hAnsi="黑体" w:eastAsia="黑体"/>
          <w:b/>
          <w:bCs/>
          <w:highlight w:val="none"/>
        </w:rPr>
        <w:t>】</w:t>
      </w:r>
      <w:r>
        <w:rPr>
          <w:rFonts w:hint="eastAsia" w:ascii="黑体" w:hAnsi="黑体" w:eastAsia="黑体"/>
          <w:b/>
          <w:bCs/>
          <w:highlight w:val="none"/>
          <w:lang w:eastAsia="zh-CN"/>
        </w:rPr>
        <w:t>临沂艺术学校“幕启繁花”</w:t>
      </w:r>
      <w:r>
        <w:rPr>
          <w:rFonts w:hint="eastAsia" w:ascii="黑体" w:hAnsi="黑体" w:eastAsia="黑体"/>
          <w:b/>
          <w:bCs/>
          <w:highlight w:val="none"/>
        </w:rPr>
        <w:t>视听展演</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30"/>
      </w:tblGrid>
      <w:tr w14:paraId="62DF0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730" w:type="dxa"/>
            <w:vAlign w:val="center"/>
          </w:tcPr>
          <w:p w14:paraId="20F49AB0">
            <w:pPr>
              <w:ind w:firstLine="640" w:firstLineChars="200"/>
              <w:rPr>
                <w:rFonts w:hint="eastAsia"/>
              </w:rPr>
            </w:pPr>
            <w:r>
              <w:rPr>
                <w:rFonts w:hint="eastAsia" w:ascii="仿宋_GB2312" w:hAnsi="仿宋_GB2312" w:eastAsia="仿宋_GB2312" w:cs="仿宋_GB2312"/>
                <w:highlight w:val="none"/>
              </w:rPr>
              <w:t>4月25日上午，临沂艺术学校大剧院内掌声如潮。戏剧表演部2023级学子以一场名为</w:t>
            </w:r>
            <w:r>
              <w:rPr>
                <w:rFonts w:hint="eastAsia" w:hAnsi="仿宋_GB2312" w:cs="仿宋_GB2312"/>
                <w:highlight w:val="none"/>
                <w:lang w:eastAsia="zh-CN"/>
              </w:rPr>
              <w:t>“</w:t>
            </w:r>
            <w:r>
              <w:rPr>
                <w:rFonts w:hint="eastAsia" w:ascii="仿宋_GB2312" w:hAnsi="仿宋_GB2312" w:eastAsia="仿宋_GB2312" w:cs="仿宋_GB2312"/>
                <w:highlight w:val="none"/>
              </w:rPr>
              <w:t>幕启繁花</w:t>
            </w:r>
            <w:r>
              <w:rPr>
                <w:rFonts w:hint="eastAsia" w:hAnsi="仿宋_GB2312" w:cs="仿宋_GB2312"/>
                <w:highlight w:val="none"/>
                <w:lang w:eastAsia="zh-CN"/>
              </w:rPr>
              <w:t>”</w:t>
            </w:r>
            <w:r>
              <w:rPr>
                <w:rFonts w:hint="eastAsia" w:ascii="仿宋_GB2312" w:hAnsi="仿宋_GB2312" w:eastAsia="仿宋_GB2312" w:cs="仿宋_GB2312"/>
                <w:highlight w:val="none"/>
              </w:rPr>
              <w:t>的光影视听展演，为观众献上四部风格迥异的小品与一部深沉动人的朗诵，用舞台上的光影与台词，书写了对在艺校学习专业的青春答卷。《披星戴月地想你》《我要当主唱》《渡口》《尤利娅别哭》四则幽默并彰显演技的小品让同学们点燃了大剧院内的激情，观众们时而捧腹大笑，时而潸然泪下，每个故事的落幕后引起的掌声总是久久不能停下。这场展演不仅是学生的汇报，更是教学团队</w:t>
            </w:r>
            <w:r>
              <w:rPr>
                <w:rFonts w:hint="eastAsia" w:hAnsi="仿宋_GB2312" w:cs="仿宋_GB2312"/>
                <w:highlight w:val="none"/>
                <w:lang w:eastAsia="zh-CN"/>
              </w:rPr>
              <w:t>“</w:t>
            </w:r>
            <w:r>
              <w:rPr>
                <w:rFonts w:hint="eastAsia" w:ascii="仿宋_GB2312" w:hAnsi="仿宋_GB2312" w:eastAsia="仿宋_GB2312" w:cs="仿宋_GB2312"/>
                <w:highlight w:val="none"/>
              </w:rPr>
              <w:t>以演促学</w:t>
            </w:r>
            <w:r>
              <w:rPr>
                <w:rFonts w:hint="eastAsia" w:hAnsi="仿宋_GB2312" w:cs="仿宋_GB2312"/>
                <w:highlight w:val="none"/>
                <w:lang w:eastAsia="zh-CN"/>
              </w:rPr>
              <w:t>”</w:t>
            </w:r>
            <w:r>
              <w:rPr>
                <w:rFonts w:hint="eastAsia" w:ascii="仿宋_GB2312" w:hAnsi="仿宋_GB2312" w:eastAsia="仿宋_GB2312" w:cs="仿宋_GB2312"/>
                <w:highlight w:val="none"/>
              </w:rPr>
              <w:t>理念的成果，最终在此刻凝结成舞台上的专业底气。未来，属于他们的舞台必将更宽广。</w:t>
            </w:r>
          </w:p>
        </w:tc>
      </w:tr>
      <w:tr w14:paraId="37814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30" w:type="dxa"/>
            <w:vAlign w:val="center"/>
          </w:tcPr>
          <w:p w14:paraId="4EB400F5">
            <w:pPr>
              <w:tabs>
                <w:tab w:val="left" w:pos="1125"/>
              </w:tabs>
              <w:spacing w:line="240" w:lineRule="auto"/>
              <w:jc w:val="both"/>
            </w:pPr>
            <w:r>
              <w:drawing>
                <wp:inline distT="0" distB="0" distL="0" distR="0">
                  <wp:extent cx="5471795" cy="4104005"/>
                  <wp:effectExtent l="0" t="0" r="14605" b="10795"/>
                  <wp:docPr id="1232496815" name="图片 2" descr="C:/Users/hp/Desktop/2-4.jpg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496815" name="图片 2" descr="C:/Users/hp/Desktop/2-4.jpg2-4"/>
                          <pic:cNvPicPr>
                            <a:picLocks noChangeAspect="1" noChangeArrowheads="1"/>
                          </pic:cNvPicPr>
                        </pic:nvPicPr>
                        <pic:blipFill>
                          <a:blip r:embed="rId14"/>
                          <a:srcRect t="22" b="22"/>
                          <a:stretch>
                            <a:fillRect/>
                          </a:stretch>
                        </pic:blipFill>
                        <pic:spPr>
                          <a:xfrm>
                            <a:off x="0" y="0"/>
                            <a:ext cx="5471795" cy="4104005"/>
                          </a:xfrm>
                          <a:prstGeom prst="rect">
                            <a:avLst/>
                          </a:prstGeom>
                          <a:noFill/>
                          <a:ln>
                            <a:noFill/>
                          </a:ln>
                        </pic:spPr>
                      </pic:pic>
                    </a:graphicData>
                  </a:graphic>
                </wp:inline>
              </w:drawing>
            </w:r>
          </w:p>
        </w:tc>
      </w:tr>
      <w:tr w14:paraId="61652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730" w:type="dxa"/>
            <w:vAlign w:val="center"/>
          </w:tcPr>
          <w:p w14:paraId="20EDE489">
            <w:pPr>
              <w:tabs>
                <w:tab w:val="left" w:pos="1125"/>
              </w:tabs>
              <w:spacing w:line="240" w:lineRule="auto"/>
              <w:jc w:val="center"/>
              <w:rPr>
                <w:rFonts w:hint="eastAsia" w:eastAsia="仿宋_GB2312"/>
                <w:b/>
                <w:bCs/>
                <w:lang w:eastAsia="zh-CN"/>
              </w:rPr>
            </w:pPr>
            <w:r>
              <w:rPr>
                <w:rFonts w:hint="eastAsia"/>
                <w:b/>
                <w:bCs/>
                <w:sz w:val="24"/>
                <w:szCs w:val="21"/>
              </w:rPr>
              <w:t>图2</w:t>
            </w:r>
            <w:r>
              <w:rPr>
                <w:b/>
                <w:bCs/>
                <w:sz w:val="24"/>
                <w:szCs w:val="21"/>
              </w:rPr>
              <w:t>-</w:t>
            </w:r>
            <w:r>
              <w:rPr>
                <w:rFonts w:hint="eastAsia"/>
                <w:b/>
                <w:bCs/>
                <w:sz w:val="24"/>
                <w:szCs w:val="21"/>
                <w:lang w:val="en-US" w:eastAsia="zh-CN"/>
              </w:rPr>
              <w:t>4</w:t>
            </w:r>
            <w:r>
              <w:rPr>
                <w:b/>
                <w:bCs/>
                <w:sz w:val="24"/>
                <w:szCs w:val="21"/>
              </w:rPr>
              <w:t xml:space="preserve">  </w:t>
            </w:r>
            <w:r>
              <w:rPr>
                <w:rFonts w:hint="eastAsia"/>
                <w:b/>
                <w:bCs/>
                <w:sz w:val="24"/>
                <w:szCs w:val="21"/>
              </w:rPr>
              <w:t>临沂艺术学校“幕启繁花”视听展演</w:t>
            </w:r>
            <w:r>
              <w:rPr>
                <w:rFonts w:hint="eastAsia"/>
                <w:b/>
                <w:bCs/>
                <w:sz w:val="24"/>
                <w:szCs w:val="21"/>
                <w:lang w:eastAsia="zh-CN"/>
              </w:rPr>
              <w:t>舞台记忆</w:t>
            </w:r>
          </w:p>
        </w:tc>
      </w:tr>
    </w:tbl>
    <w:p w14:paraId="4C396B4C">
      <w:pPr>
        <w:rPr>
          <w:rFonts w:hint="eastAsia" w:ascii="黑体" w:hAnsi="黑体" w:eastAsia="黑体"/>
          <w:b/>
          <w:bCs/>
          <w:highlight w:val="none"/>
        </w:rPr>
      </w:pPr>
      <w:r>
        <w:rPr>
          <w:rFonts w:hint="eastAsia" w:ascii="黑体" w:hAnsi="黑体" w:eastAsia="黑体"/>
          <w:b/>
          <w:bCs/>
          <w:highlight w:val="none"/>
        </w:rPr>
        <w:t>【案例2-</w:t>
      </w:r>
      <w:r>
        <w:rPr>
          <w:rFonts w:hint="eastAsia" w:ascii="黑体" w:hAnsi="黑体" w:eastAsia="黑体"/>
          <w:b/>
          <w:bCs/>
          <w:highlight w:val="none"/>
          <w:lang w:val="en-US" w:eastAsia="zh-CN"/>
        </w:rPr>
        <w:t>2</w:t>
      </w:r>
      <w:r>
        <w:rPr>
          <w:rFonts w:hint="eastAsia" w:ascii="黑体" w:hAnsi="黑体" w:eastAsia="黑体"/>
          <w:b/>
          <w:bCs/>
          <w:highlight w:val="none"/>
        </w:rPr>
        <w:t>】</w:t>
      </w:r>
      <w:r>
        <w:rPr>
          <w:rFonts w:hint="eastAsia" w:ascii="黑体" w:hAnsi="黑体" w:eastAsia="黑体"/>
          <w:b/>
          <w:bCs/>
          <w:highlight w:val="none"/>
          <w:lang w:eastAsia="zh-CN"/>
        </w:rPr>
        <w:t>临沂艺术学校</w:t>
      </w:r>
      <w:r>
        <w:rPr>
          <w:rFonts w:hint="eastAsia" w:ascii="黑体" w:hAnsi="黑体" w:eastAsia="黑体"/>
          <w:b/>
          <w:bCs/>
          <w:highlight w:val="none"/>
        </w:rPr>
        <w:t>摄影展及跳蚤市场活动</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30"/>
      </w:tblGrid>
      <w:tr w14:paraId="3F145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730" w:type="dxa"/>
            <w:vAlign w:val="center"/>
          </w:tcPr>
          <w:p w14:paraId="71A262D1">
            <w:pPr>
              <w:tabs>
                <w:tab w:val="left" w:pos="1125"/>
              </w:tabs>
              <w:spacing w:line="240" w:lineRule="auto"/>
              <w:ind w:firstLine="640" w:firstLineChars="200"/>
              <w:jc w:val="both"/>
              <w:rPr>
                <w:rFonts w:hint="eastAsia"/>
              </w:rPr>
            </w:pPr>
            <w:r>
              <w:rPr>
                <w:rFonts w:hint="eastAsia"/>
              </w:rPr>
              <w:t>5月16日中午，</w:t>
            </w:r>
            <w:r>
              <w:rPr>
                <w:rFonts w:hint="eastAsia"/>
                <w:lang w:eastAsia="zh-CN"/>
              </w:rPr>
              <w:t>临沂艺术学校</w:t>
            </w:r>
            <w:r>
              <w:rPr>
                <w:rFonts w:hint="eastAsia"/>
              </w:rPr>
              <w:t>开展“青春逐团光・帧映韶华”摄影展及“手作添春色，市集绽青春”跳蚤市场活动。活动现场，热闹非凡。摄影展区域，一幅幅佳作有序陈列。有的定格校园的晨曦，阳光洒在教学楼的玻璃上，折射出五彩光芒；有的聚焦团旗飘扬瞬间，团徽在阳光下熠熠生辉；还有的捕捉学生们青春洋溢的面庞，笑容灿烂，满是朝气。师生们驻足观赏，或低声交流拍摄技巧，或为作品创意点赞。此次活动，不仅为同学们提供了展示才艺的舞台，更增进了师生间的交流互动，让校园文化氛围愈发浓厚，成为这个五月里一抹难忘的亮色。</w:t>
            </w:r>
          </w:p>
        </w:tc>
      </w:tr>
      <w:tr w14:paraId="11708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30" w:type="dxa"/>
            <w:vAlign w:val="center"/>
          </w:tcPr>
          <w:p w14:paraId="14AE943E">
            <w:pPr>
              <w:tabs>
                <w:tab w:val="left" w:pos="1125"/>
              </w:tabs>
              <w:spacing w:line="240" w:lineRule="auto"/>
              <w:jc w:val="both"/>
              <w:rPr>
                <w:rFonts w:hint="eastAsia"/>
              </w:rPr>
            </w:pPr>
            <w:r>
              <w:drawing>
                <wp:inline distT="0" distB="0" distL="0" distR="0">
                  <wp:extent cx="5471795" cy="4104005"/>
                  <wp:effectExtent l="0" t="0" r="14605" b="10795"/>
                  <wp:docPr id="9" name="图片 2" descr="C:/Users/hp/Desktop/2-5.jpg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C:/Users/hp/Desktop/2-5.jpg2-5"/>
                          <pic:cNvPicPr>
                            <a:picLocks noChangeAspect="1" noChangeArrowheads="1"/>
                          </pic:cNvPicPr>
                        </pic:nvPicPr>
                        <pic:blipFill>
                          <a:blip r:embed="rId15"/>
                          <a:srcRect l="12502" r="12502"/>
                          <a:stretch>
                            <a:fillRect/>
                          </a:stretch>
                        </pic:blipFill>
                        <pic:spPr>
                          <a:xfrm>
                            <a:off x="0" y="0"/>
                            <a:ext cx="5471795" cy="4104005"/>
                          </a:xfrm>
                          <a:prstGeom prst="rect">
                            <a:avLst/>
                          </a:prstGeom>
                          <a:noFill/>
                          <a:ln>
                            <a:noFill/>
                          </a:ln>
                        </pic:spPr>
                      </pic:pic>
                    </a:graphicData>
                  </a:graphic>
                </wp:inline>
              </w:drawing>
            </w:r>
          </w:p>
        </w:tc>
      </w:tr>
      <w:tr w14:paraId="7706E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730" w:type="dxa"/>
            <w:vAlign w:val="center"/>
          </w:tcPr>
          <w:p w14:paraId="2CB433AE">
            <w:pPr>
              <w:tabs>
                <w:tab w:val="left" w:pos="1125"/>
              </w:tabs>
              <w:spacing w:line="240" w:lineRule="auto"/>
              <w:jc w:val="center"/>
              <w:rPr>
                <w:rFonts w:hint="eastAsia" w:eastAsia="仿宋_GB2312"/>
                <w:b/>
                <w:bCs/>
                <w:lang w:eastAsia="zh-CN"/>
              </w:rPr>
            </w:pPr>
            <w:r>
              <w:rPr>
                <w:rFonts w:hint="eastAsia"/>
                <w:b/>
                <w:bCs/>
                <w:sz w:val="24"/>
                <w:szCs w:val="21"/>
              </w:rPr>
              <w:t>图2</w:t>
            </w:r>
            <w:r>
              <w:rPr>
                <w:b/>
                <w:bCs/>
                <w:sz w:val="24"/>
                <w:szCs w:val="21"/>
              </w:rPr>
              <w:t>-</w:t>
            </w:r>
            <w:r>
              <w:rPr>
                <w:rFonts w:hint="eastAsia"/>
                <w:b/>
                <w:bCs/>
                <w:sz w:val="24"/>
                <w:szCs w:val="21"/>
                <w:lang w:val="en-US" w:eastAsia="zh-CN"/>
              </w:rPr>
              <w:t>5</w:t>
            </w:r>
            <w:r>
              <w:rPr>
                <w:b/>
                <w:bCs/>
                <w:sz w:val="24"/>
                <w:szCs w:val="21"/>
              </w:rPr>
              <w:t xml:space="preserve">  </w:t>
            </w:r>
            <w:r>
              <w:rPr>
                <w:rFonts w:hint="eastAsia"/>
                <w:b/>
                <w:bCs/>
                <w:sz w:val="24"/>
                <w:szCs w:val="21"/>
                <w:lang w:eastAsia="zh-CN"/>
              </w:rPr>
              <w:t>临沂艺术学校</w:t>
            </w:r>
            <w:r>
              <w:rPr>
                <w:rFonts w:hint="eastAsia"/>
                <w:b/>
                <w:bCs/>
                <w:sz w:val="24"/>
                <w:szCs w:val="21"/>
              </w:rPr>
              <w:t>摄影展及跳蚤市场活动</w:t>
            </w:r>
            <w:r>
              <w:rPr>
                <w:rFonts w:hint="eastAsia"/>
                <w:b/>
                <w:bCs/>
                <w:sz w:val="24"/>
                <w:szCs w:val="21"/>
                <w:lang w:eastAsia="zh-CN"/>
              </w:rPr>
              <w:t>现场</w:t>
            </w:r>
          </w:p>
        </w:tc>
      </w:tr>
    </w:tbl>
    <w:p w14:paraId="7F9EB7AE">
      <w:pPr>
        <w:widowControl/>
        <w:spacing w:line="240" w:lineRule="auto"/>
        <w:jc w:val="left"/>
        <w:rPr>
          <w:rFonts w:hint="eastAsia"/>
        </w:rPr>
      </w:pPr>
      <w:r>
        <w:rPr>
          <w:rFonts w:hint="eastAsia"/>
        </w:rPr>
        <w:br w:type="page"/>
      </w:r>
    </w:p>
    <w:p w14:paraId="06F99516">
      <w:pPr>
        <w:pStyle w:val="2"/>
        <w:ind w:left="640"/>
        <w:rPr>
          <w:rFonts w:hint="eastAsia"/>
        </w:rPr>
      </w:pPr>
      <w:bookmarkStart w:id="10" w:name="_Toc187608102"/>
      <w:r>
        <w:rPr>
          <w:rFonts w:hint="eastAsia"/>
        </w:rPr>
        <w:t>3.教育教学</w:t>
      </w:r>
      <w:bookmarkEnd w:id="10"/>
    </w:p>
    <w:p w14:paraId="2FD91EAC">
      <w:pPr>
        <w:pStyle w:val="3"/>
        <w:ind w:left="640"/>
        <w:rPr>
          <w:rFonts w:hint="eastAsia"/>
        </w:rPr>
      </w:pPr>
      <w:bookmarkStart w:id="11" w:name="_Toc187608103"/>
      <w:r>
        <w:rPr>
          <w:rFonts w:hint="eastAsia"/>
        </w:rPr>
        <w:t>3.1专业建设质量</w:t>
      </w:r>
      <w:bookmarkEnd w:id="11"/>
    </w:p>
    <w:p w14:paraId="377A705F">
      <w:pPr>
        <w:ind w:firstLine="640" w:firstLineChars="200"/>
        <w:rPr>
          <w:rFonts w:hint="eastAsia" w:hAnsi="仿宋_GB2312" w:cs="仿宋_GB2312"/>
          <w:szCs w:val="32"/>
        </w:rPr>
      </w:pPr>
      <w:r>
        <w:rPr>
          <w:rFonts w:hint="eastAsia"/>
        </w:rPr>
        <w:t>优化专业设置。</w:t>
      </w:r>
      <w:r>
        <w:rPr>
          <w:rFonts w:hint="eastAsia" w:hAnsi="仿宋_GB2312" w:cs="仿宋_GB2312"/>
          <w:szCs w:val="32"/>
        </w:rPr>
        <w:t>学校持续调整优化专业设置与培养方向，本学年，</w:t>
      </w:r>
      <w:r>
        <w:rPr>
          <w:rFonts w:hint="eastAsia"/>
        </w:rPr>
        <w:t>新增</w:t>
      </w:r>
      <w:r>
        <w:rPr>
          <w:rFonts w:hint="eastAsia"/>
          <w:lang w:eastAsia="zh-CN"/>
        </w:rPr>
        <w:t>文物保护技术</w:t>
      </w:r>
      <w:r>
        <w:rPr>
          <w:rFonts w:hint="eastAsia"/>
        </w:rPr>
        <w:t>中高职“3+2”贯通培养专业点。</w:t>
      </w:r>
      <w:r>
        <w:rPr>
          <w:rFonts w:hint="eastAsia" w:hAnsi="仿宋_GB2312" w:cs="仿宋_GB2312"/>
          <w:szCs w:val="32"/>
        </w:rPr>
        <w:t>现开设三二连读专科、夏季高考、春季高考三个办学层次，设置舞蹈表演、音乐表演、绘画、播音与主持、幼儿保育、旅游服务与管理、数字影像技术、艺术设计与制作、文物保护技术、直播电商服务、戏曲表演等11个专业方向。</w:t>
      </w:r>
    </w:p>
    <w:p w14:paraId="6F35B5B7">
      <w:pPr>
        <w:ind w:firstLine="640" w:firstLineChars="200"/>
        <w:rPr>
          <w:rFonts w:hint="eastAsia"/>
        </w:rPr>
      </w:pPr>
      <w:r>
        <w:rPr>
          <w:rFonts w:hint="eastAsia" w:hAnsi="仿宋_GB2312" w:cs="仿宋_GB2312"/>
          <w:szCs w:val="32"/>
        </w:rPr>
        <w:t>强化专业建设。学校定期组织修订各专业人才培养方案，不断提高专业办学水平和人才培养质量，加强对舞蹈表演、音乐表演、绘画、艺术设计与制作等重点专业的人才培养模式改革、课程体系建设、教学团队建设、教学设施建设、数字化教学资源建设、服务能力和水平提升、专业质量效益提高等。</w:t>
      </w:r>
    </w:p>
    <w:p w14:paraId="7A891913">
      <w:pPr>
        <w:pStyle w:val="3"/>
        <w:ind w:left="640"/>
        <w:rPr>
          <w:rFonts w:hint="eastAsia"/>
        </w:rPr>
      </w:pPr>
      <w:bookmarkStart w:id="12" w:name="_Toc187608104"/>
      <w:r>
        <w:rPr>
          <w:rFonts w:hint="eastAsia"/>
        </w:rPr>
        <w:t>3.2课程建设质量</w:t>
      </w:r>
      <w:bookmarkEnd w:id="12"/>
    </w:p>
    <w:p w14:paraId="7893E7CF">
      <w:pPr>
        <w:ind w:firstLine="640" w:firstLineChars="200"/>
        <w:rPr>
          <w:rFonts w:hint="eastAsia"/>
        </w:rPr>
      </w:pPr>
      <w:r>
        <w:rPr>
          <w:rFonts w:hint="eastAsia"/>
        </w:rPr>
        <w:t>在线课程建设成效显著。依托山东省在线精品课建设，学校加强数字化课程资源建设，不断提升课程建设质量。2024</w:t>
      </w:r>
      <w:r>
        <w:rPr>
          <w:rFonts w:hint="eastAsia"/>
          <w:lang w:val="en-US" w:eastAsia="zh-CN"/>
        </w:rPr>
        <w:t>-2025学</w:t>
      </w:r>
      <w:r>
        <w:rPr>
          <w:rFonts w:hint="eastAsia"/>
        </w:rPr>
        <w:t>年，学校</w:t>
      </w:r>
      <w:r>
        <w:rPr>
          <w:rFonts w:hint="eastAsia"/>
          <w:lang w:eastAsia="zh-CN"/>
        </w:rPr>
        <w:t>三门省级职业教育在线精品课程——</w:t>
      </w:r>
      <w:r>
        <w:rPr>
          <w:rFonts w:hint="eastAsia"/>
        </w:rPr>
        <w:t>《中国历史》《中国美术鉴赏与实践》《中国近现代音乐欣赏》</w:t>
      </w:r>
      <w:r>
        <w:rPr>
          <w:rFonts w:hint="eastAsia"/>
          <w:lang w:eastAsia="zh-CN"/>
        </w:rPr>
        <w:t>——</w:t>
      </w:r>
      <w:r>
        <w:rPr>
          <w:rFonts w:hint="eastAsia"/>
        </w:rPr>
        <w:t>接入</w:t>
      </w:r>
      <w:r>
        <w:rPr>
          <w:rFonts w:hint="eastAsia"/>
          <w:lang w:eastAsia="zh-CN"/>
        </w:rPr>
        <w:t>山东省职业</w:t>
      </w:r>
      <w:r>
        <w:rPr>
          <w:rFonts w:hint="eastAsia"/>
        </w:rPr>
        <w:t>智慧教育平台</w:t>
      </w:r>
      <w:r>
        <w:rPr>
          <w:rFonts w:hint="eastAsia"/>
          <w:lang w:eastAsia="zh-CN"/>
        </w:rPr>
        <w:t>，学习者覆盖</w:t>
      </w:r>
      <w:r>
        <w:rPr>
          <w:rFonts w:hint="eastAsia"/>
          <w:lang w:val="en-US" w:eastAsia="zh-CN"/>
        </w:rPr>
        <w:t>100余所学校</w:t>
      </w:r>
      <w:r>
        <w:rPr>
          <w:rFonts w:hint="eastAsia"/>
        </w:rPr>
        <w:t>。</w:t>
      </w:r>
    </w:p>
    <w:p w14:paraId="5D30DE6B">
      <w:pPr>
        <w:ind w:firstLine="640" w:firstLineChars="200"/>
        <w:rPr>
          <w:rFonts w:hint="eastAsia"/>
        </w:rPr>
      </w:pPr>
      <w:r>
        <w:rPr>
          <w:rFonts w:hint="eastAsia"/>
        </w:rPr>
        <w:t>课证融通课程持续优化。依托1+X职业技能等级证书培训与考核，学校音乐表演专业、绘画专业、艺术设计与制作专业、数字影像技术和幼儿保育专业持续推进课证融通，将1+X职业技能等级证书考核模块纳入专业课程体系，优化了专业课程体系，提升了育人质量。</w:t>
      </w:r>
    </w:p>
    <w:p w14:paraId="36D19034">
      <w:pPr>
        <w:pStyle w:val="3"/>
        <w:ind w:left="640"/>
        <w:rPr>
          <w:rFonts w:hint="eastAsia"/>
        </w:rPr>
      </w:pPr>
      <w:bookmarkStart w:id="13" w:name="_Toc187608105"/>
      <w:r>
        <w:rPr>
          <w:rFonts w:hint="eastAsia"/>
        </w:rPr>
        <w:t>3.3教学方法改革</w:t>
      </w:r>
      <w:bookmarkEnd w:id="13"/>
    </w:p>
    <w:p w14:paraId="68065176">
      <w:pPr>
        <w:ind w:firstLine="640" w:firstLineChars="200"/>
        <w:rPr>
          <w:rFonts w:hint="eastAsia"/>
          <w:highlight w:val="none"/>
        </w:rPr>
      </w:pPr>
      <w:r>
        <w:rPr>
          <w:rFonts w:hint="eastAsia"/>
          <w:highlight w:val="none"/>
        </w:rPr>
        <w:t>深入挖掘思政元素，推进教学方法改革。学校坚持把红色文化融入课堂，系统构建立体化、全面覆盖的“红色课堂”大格局，采用项目式教学法、情境教学法、个性化教学法等，推进“思政课程”与“课程思政”良性互动，构建“大思政”育人格局。舞蹈表演、音乐表演等表演艺术类专业以《沂蒙山》等表演项目为载体，融教学内容于剧目排演，渗透思政元素，全面提升学生表演技能，涵养家国情怀。绘画、艺术设计与制作等专业通过红色沂蒙风景写生实践教学，提升专业素养和艺术欣赏水平，</w:t>
      </w:r>
    </w:p>
    <w:p w14:paraId="55701AA5">
      <w:pPr>
        <w:pStyle w:val="3"/>
        <w:ind w:left="640"/>
        <w:rPr>
          <w:rFonts w:hint="eastAsia"/>
        </w:rPr>
      </w:pPr>
      <w:bookmarkStart w:id="14" w:name="_Toc187608106"/>
      <w:r>
        <w:rPr>
          <w:rFonts w:hint="eastAsia"/>
        </w:rPr>
        <w:t>3.4教材建设质量</w:t>
      </w:r>
      <w:bookmarkEnd w:id="14"/>
    </w:p>
    <w:p w14:paraId="48BB12AB">
      <w:pPr>
        <w:ind w:firstLine="640" w:firstLineChars="200"/>
        <w:rPr>
          <w:rFonts w:hint="eastAsia"/>
        </w:rPr>
      </w:pPr>
      <w:r>
        <w:rPr>
          <w:rFonts w:hint="eastAsia"/>
        </w:rPr>
        <w:t>学校严格教材的选用、审核制度，开展教材意识形态排查工作，完善教材规划、编写、审核、选用使用、评价监管机制。2024</w:t>
      </w:r>
      <w:r>
        <w:rPr>
          <w:rFonts w:hint="eastAsia"/>
          <w:lang w:val="en-US" w:eastAsia="zh-CN"/>
        </w:rPr>
        <w:t>-2025学</w:t>
      </w:r>
      <w:r>
        <w:rPr>
          <w:rFonts w:hint="eastAsia"/>
        </w:rPr>
        <w:t>年，学校继续深入贯彻落实《职业院校教材管理办法》《山东省职业院校教材管理办法》《临沂市职业院校教材管理办法实施细则》《临沂艺术学校教材管理办法》，成立教材选用委员会，规范教材审核、选用流程。思想政治、语文和历史课程采用国家统编教材，公共基础必修课程选用国家规划教材，专业课程优先在国家和省级教育行政部门发布的规划教材目录中选择。组织思想政治、语文和历史学科任课教师参加三科统编教材的培训。</w:t>
      </w:r>
    </w:p>
    <w:p w14:paraId="4BC80515">
      <w:pPr>
        <w:pStyle w:val="3"/>
        <w:ind w:left="640"/>
        <w:rPr>
          <w:rFonts w:hint="eastAsia"/>
        </w:rPr>
      </w:pPr>
      <w:bookmarkStart w:id="15" w:name="_Toc187608107"/>
      <w:r>
        <w:rPr>
          <w:rFonts w:hint="eastAsia"/>
        </w:rPr>
        <w:t>3.5数字化教学资源建设与应用</w:t>
      </w:r>
      <w:bookmarkEnd w:id="15"/>
    </w:p>
    <w:p w14:paraId="5377E419">
      <w:pPr>
        <w:ind w:firstLine="640" w:firstLineChars="200"/>
        <w:rPr>
          <w:rFonts w:hint="eastAsia"/>
        </w:rPr>
      </w:pPr>
      <w:r>
        <w:rPr>
          <w:rFonts w:hint="eastAsia"/>
        </w:rPr>
        <w:t>学校持续加大信息化设备投入，实现校园有线、无线网络全覆盖，保障了信息化教学顺利开展。2024</w:t>
      </w:r>
      <w:r>
        <w:rPr>
          <w:rFonts w:hint="eastAsia"/>
          <w:lang w:val="en-US" w:eastAsia="zh-CN"/>
        </w:rPr>
        <w:t>-2025学</w:t>
      </w:r>
      <w:r>
        <w:rPr>
          <w:rFonts w:hint="eastAsia"/>
        </w:rPr>
        <w:t>年，学校完善了智慧校园功能，依托微信小程序建设OA办公平台、学生管理平台、教学管理平台。依托超星泛雅平台，建设专业教学资源库，开发在线课程资源。</w:t>
      </w:r>
    </w:p>
    <w:p w14:paraId="39767B62">
      <w:pPr>
        <w:pStyle w:val="3"/>
        <w:ind w:left="640"/>
        <w:rPr>
          <w:rFonts w:hint="eastAsia"/>
        </w:rPr>
      </w:pPr>
      <w:bookmarkStart w:id="16" w:name="_Toc187608108"/>
      <w:r>
        <w:rPr>
          <w:rFonts w:hint="eastAsia"/>
        </w:rPr>
        <w:t>3.6师资队伍建设</w:t>
      </w:r>
      <w:bookmarkEnd w:id="16"/>
    </w:p>
    <w:p w14:paraId="11683273">
      <w:pPr>
        <w:ind w:firstLine="640" w:firstLineChars="200"/>
        <w:rPr>
          <w:rFonts w:hint="eastAsia"/>
        </w:rPr>
      </w:pPr>
      <w:r>
        <w:rPr>
          <w:rFonts w:hint="eastAsia"/>
        </w:rPr>
        <w:t>提升教师专业素养。2024</w:t>
      </w:r>
      <w:r>
        <w:rPr>
          <w:rFonts w:hint="eastAsia"/>
          <w:lang w:val="en-US" w:eastAsia="zh-CN"/>
        </w:rPr>
        <w:t>-2025学</w:t>
      </w:r>
      <w:r>
        <w:rPr>
          <w:rFonts w:hint="eastAsia"/>
        </w:rPr>
        <w:t>年，学校分层分类举办专题培训，组织教师参与202</w:t>
      </w:r>
      <w:r>
        <w:rPr>
          <w:rFonts w:hint="eastAsia"/>
          <w:lang w:val="en-US" w:eastAsia="zh-CN"/>
        </w:rPr>
        <w:t>5</w:t>
      </w:r>
      <w:r>
        <w:rPr>
          <w:rFonts w:hint="eastAsia"/>
        </w:rPr>
        <w:t>年度“双高计划”引领“双师型”教师队伍建设工程教师培训项目、教师信息化应用提升专题培训、“三教”改革专题培训、职业院校教师教学能力提升高级研究班等各级培训项目3</w:t>
      </w:r>
      <w:r>
        <w:t>0</w:t>
      </w:r>
      <w:r>
        <w:rPr>
          <w:rFonts w:hint="eastAsia"/>
        </w:rPr>
        <w:t>余人次，举办培训2</w:t>
      </w:r>
      <w:r>
        <w:t>0</w:t>
      </w:r>
      <w:r>
        <w:rPr>
          <w:rFonts w:hint="eastAsia"/>
        </w:rPr>
        <w:t>余场次。</w:t>
      </w:r>
    </w:p>
    <w:p w14:paraId="65642311">
      <w:pPr>
        <w:ind w:firstLine="640" w:firstLineChars="200"/>
        <w:rPr>
          <w:rFonts w:hint="eastAsia"/>
        </w:rPr>
      </w:pPr>
      <w:r>
        <w:rPr>
          <w:rFonts w:hint="eastAsia"/>
        </w:rPr>
        <w:t>建设“双师型”教师队伍。</w:t>
      </w:r>
      <w:r>
        <w:rPr>
          <w:rFonts w:hint="eastAsia"/>
          <w:lang w:val="en-US" w:eastAsia="zh-CN"/>
        </w:rPr>
        <w:t>2024-</w:t>
      </w:r>
      <w:r>
        <w:rPr>
          <w:rFonts w:hint="eastAsia"/>
        </w:rPr>
        <w:t>202</w:t>
      </w:r>
      <w:r>
        <w:rPr>
          <w:rFonts w:hint="eastAsia"/>
          <w:lang w:val="en-US" w:eastAsia="zh-CN"/>
        </w:rPr>
        <w:t>5</w:t>
      </w:r>
      <w:r>
        <w:rPr>
          <w:rFonts w:hint="eastAsia"/>
        </w:rPr>
        <w:t>年，学校共有</w:t>
      </w:r>
      <w:r>
        <w:rPr>
          <w:rFonts w:hint="eastAsia"/>
          <w:lang w:val="en-US" w:eastAsia="zh-CN"/>
        </w:rPr>
        <w:t>3</w:t>
      </w:r>
      <w:r>
        <w:rPr>
          <w:rFonts w:hint="eastAsia"/>
        </w:rPr>
        <w:t>名教师通过山东省“双师型”教师认定。此外，</w:t>
      </w:r>
      <w:r>
        <w:rPr>
          <w:rFonts w:hint="eastAsia"/>
          <w:lang w:eastAsia="zh-CN"/>
        </w:rPr>
        <w:t>十余</w:t>
      </w:r>
      <w:r>
        <w:rPr>
          <w:rFonts w:hint="eastAsia"/>
        </w:rPr>
        <w:t>名教师将陆续取得证书，稳步提升“双师型”教师比例。</w:t>
      </w:r>
    </w:p>
    <w:p w14:paraId="4DA23358">
      <w:pPr>
        <w:rPr>
          <w:rFonts w:hint="eastAsia" w:ascii="黑体" w:hAnsi="黑体" w:eastAsia="黑体"/>
          <w:b/>
          <w:bCs/>
          <w:highlight w:val="none"/>
        </w:rPr>
      </w:pPr>
      <w:r>
        <w:rPr>
          <w:rFonts w:hint="eastAsia" w:ascii="黑体" w:hAnsi="黑体" w:eastAsia="黑体"/>
          <w:b/>
          <w:bCs/>
          <w:highlight w:val="none"/>
        </w:rPr>
        <w:t>【案例3-1】艺心向党绘丹青 沂蒙画卷展华章</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30"/>
      </w:tblGrid>
      <w:tr w14:paraId="6A4CA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730" w:type="dxa"/>
            <w:vAlign w:val="center"/>
          </w:tcPr>
          <w:p w14:paraId="3E0D6534">
            <w:pPr>
              <w:tabs>
                <w:tab w:val="left" w:pos="1125"/>
              </w:tabs>
              <w:spacing w:line="240" w:lineRule="auto"/>
              <w:ind w:firstLine="640" w:firstLineChars="200"/>
              <w:jc w:val="both"/>
              <w:rPr>
                <w:rFonts w:hint="eastAsia"/>
              </w:rPr>
            </w:pPr>
            <w:r>
              <w:rPr>
                <w:rFonts w:hint="eastAsia"/>
              </w:rPr>
              <w:t>1月10日，临沂艺术学在校美术馆举办“艺心向党绘丹青，沂蒙画卷展华章”美术写生暨教学汇报展。在此次汇报展中，美术部22级、23级师生共推荐了600余幅作品参加初选，经过复选最终评选了260余幅作品参展。此次展览，作品风格或简洁明快，或繁丽典雅，或古朴顿挫，或清新出尘，充满灵性和意趣，展现了临沂艺术学校美术教育的成果。美术部始终坚守绘画学习基本规律，致力于学生审美能力和绘画表达能力的培养，将写生采风作为美术教学的重要环节。对景写生可以使学生从大自然中汲取灵感，从而提高和锻炼审美感受与艺术素养。从这些作中可以窥见临沂艺校清晰的美术教学脉络和开放的艺术思维轨迹，感受到艺校学子对家乡的热爱和对绘画的热情。</w:t>
            </w:r>
          </w:p>
        </w:tc>
      </w:tr>
      <w:tr w14:paraId="0406D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30" w:type="dxa"/>
            <w:vAlign w:val="center"/>
          </w:tcPr>
          <w:p w14:paraId="2DDA952F">
            <w:pPr>
              <w:tabs>
                <w:tab w:val="left" w:pos="1125"/>
              </w:tabs>
              <w:spacing w:line="240" w:lineRule="auto"/>
              <w:jc w:val="both"/>
              <w:rPr>
                <w:rFonts w:hint="eastAsia"/>
              </w:rPr>
            </w:pPr>
            <w:r>
              <w:drawing>
                <wp:inline distT="0" distB="0" distL="114300" distR="114300">
                  <wp:extent cx="5405755" cy="3431540"/>
                  <wp:effectExtent l="0" t="0" r="4445" b="1651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6"/>
                          <a:stretch>
                            <a:fillRect/>
                          </a:stretch>
                        </pic:blipFill>
                        <pic:spPr>
                          <a:xfrm>
                            <a:off x="0" y="0"/>
                            <a:ext cx="5405755" cy="3431540"/>
                          </a:xfrm>
                          <a:prstGeom prst="rect">
                            <a:avLst/>
                          </a:prstGeom>
                          <a:noFill/>
                          <a:ln>
                            <a:noFill/>
                          </a:ln>
                        </pic:spPr>
                      </pic:pic>
                    </a:graphicData>
                  </a:graphic>
                </wp:inline>
              </w:drawing>
            </w:r>
          </w:p>
        </w:tc>
      </w:tr>
      <w:tr w14:paraId="5925B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730" w:type="dxa"/>
            <w:vAlign w:val="center"/>
          </w:tcPr>
          <w:p w14:paraId="22FCE85E">
            <w:pPr>
              <w:tabs>
                <w:tab w:val="left" w:pos="1125"/>
              </w:tabs>
              <w:spacing w:line="240" w:lineRule="auto"/>
              <w:jc w:val="center"/>
              <w:rPr>
                <w:rFonts w:hint="eastAsia" w:eastAsia="仿宋_GB2312"/>
                <w:b/>
                <w:bCs/>
                <w:lang w:eastAsia="zh-CN"/>
              </w:rPr>
            </w:pPr>
            <w:r>
              <w:rPr>
                <w:rFonts w:hint="eastAsia"/>
                <w:b/>
                <w:bCs/>
                <w:sz w:val="24"/>
                <w:szCs w:val="21"/>
              </w:rPr>
              <w:t>图3-</w:t>
            </w:r>
            <w:r>
              <w:rPr>
                <w:rFonts w:hint="eastAsia"/>
                <w:b/>
                <w:bCs/>
                <w:sz w:val="24"/>
                <w:szCs w:val="21"/>
                <w:lang w:val="en-US" w:eastAsia="zh-CN"/>
              </w:rPr>
              <w:t>1</w:t>
            </w:r>
            <w:r>
              <w:rPr>
                <w:b/>
                <w:bCs/>
                <w:sz w:val="24"/>
                <w:szCs w:val="21"/>
              </w:rPr>
              <w:t xml:space="preserve">  </w:t>
            </w:r>
            <w:r>
              <w:rPr>
                <w:rFonts w:hint="eastAsia"/>
                <w:b/>
                <w:bCs/>
                <w:sz w:val="24"/>
                <w:szCs w:val="21"/>
              </w:rPr>
              <w:t>“艺心向党绘丹青 沂蒙画卷展华章”教学汇报展</w:t>
            </w:r>
            <w:r>
              <w:rPr>
                <w:rFonts w:hint="eastAsia"/>
                <w:b/>
                <w:bCs/>
                <w:sz w:val="24"/>
                <w:szCs w:val="21"/>
                <w:lang w:eastAsia="zh-CN"/>
              </w:rPr>
              <w:t>开幕式</w:t>
            </w:r>
          </w:p>
        </w:tc>
      </w:tr>
    </w:tbl>
    <w:p w14:paraId="33B95F95">
      <w:pPr>
        <w:widowControl/>
        <w:spacing w:line="240" w:lineRule="auto"/>
        <w:jc w:val="left"/>
        <w:rPr>
          <w:rFonts w:hint="eastAsia"/>
        </w:rPr>
      </w:pPr>
      <w:r>
        <w:rPr>
          <w:rFonts w:hint="eastAsia"/>
        </w:rPr>
        <w:br w:type="page"/>
      </w:r>
    </w:p>
    <w:p w14:paraId="69949DC9">
      <w:pPr>
        <w:pStyle w:val="2"/>
        <w:ind w:left="640"/>
        <w:rPr>
          <w:rFonts w:hint="eastAsia"/>
        </w:rPr>
      </w:pPr>
      <w:bookmarkStart w:id="17" w:name="_Toc187608109"/>
      <w:r>
        <w:rPr>
          <w:rFonts w:hint="eastAsia"/>
        </w:rPr>
        <w:t>4.服务贡献</w:t>
      </w:r>
      <w:bookmarkEnd w:id="17"/>
    </w:p>
    <w:p w14:paraId="05761861">
      <w:pPr>
        <w:pStyle w:val="3"/>
        <w:ind w:left="640"/>
        <w:rPr>
          <w:rFonts w:hint="eastAsia"/>
        </w:rPr>
      </w:pPr>
      <w:bookmarkStart w:id="18" w:name="_Toc187608110"/>
      <w:r>
        <w:rPr>
          <w:rFonts w:hint="eastAsia"/>
        </w:rPr>
        <w:t>4.1服务产业企业</w:t>
      </w:r>
      <w:bookmarkEnd w:id="18"/>
    </w:p>
    <w:p w14:paraId="1E91EFB2">
      <w:pPr>
        <w:spacing w:line="360" w:lineRule="auto"/>
        <w:ind w:firstLine="640" w:firstLineChars="200"/>
        <w:rPr>
          <w:rFonts w:hint="eastAsia" w:hAnsi="宋体" w:cs="仿宋_GB2312"/>
          <w:color w:val="000000"/>
          <w:kern w:val="0"/>
          <w:sz w:val="31"/>
          <w:szCs w:val="31"/>
          <w:lang w:bidi="ar"/>
        </w:rPr>
      </w:pPr>
      <w:r>
        <w:rPr>
          <w:rFonts w:hint="eastAsia"/>
        </w:rPr>
        <w:t>在服务产业方面，学校积极参与由龙头企业、高校、职业院校牵头的行业产教融合共同体。</w:t>
      </w:r>
      <w:r>
        <w:rPr>
          <w:rFonts w:hint="eastAsia" w:hAnsi="仿宋_GB2312" w:cs="仿宋_GB2312"/>
          <w:szCs w:val="32"/>
        </w:rPr>
        <w:t>临沂艺术学校以服务舞蹈艺术行业事业发展为宗旨，以人才培养为依托，以协同发展、合作共赢为目的，参与构建以政府主导行业协会(学会)引领、学校牵头、企业配合、社会培训机构参与的“五位一体”的全国舞蹈艺术行业产教融合共同体。临沂艺术学校担任副理事长单位。</w:t>
      </w:r>
    </w:p>
    <w:p w14:paraId="5FA54AD1">
      <w:pPr>
        <w:widowControl/>
        <w:spacing w:line="360" w:lineRule="auto"/>
        <w:ind w:firstLine="640" w:firstLineChars="200"/>
        <w:jc w:val="left"/>
        <w:rPr>
          <w:rFonts w:hint="eastAsia"/>
        </w:rPr>
      </w:pPr>
      <w:r>
        <w:rPr>
          <w:rFonts w:hint="eastAsia"/>
        </w:rPr>
        <w:t>在服务企业方面，一是参与省域市域人才供需暨产教融合对话会，积极解决企业用人需求。二是推动校企共建，</w:t>
      </w:r>
      <w:r>
        <w:rPr>
          <w:rFonts w:hint="eastAsia" w:hAnsi="宋体" w:cs="仿宋_GB2312"/>
          <w:color w:val="000000"/>
          <w:kern w:val="0"/>
          <w:sz w:val="31"/>
          <w:szCs w:val="31"/>
          <w:lang w:bidi="ar"/>
        </w:rPr>
        <w:t>202</w:t>
      </w:r>
      <w:r>
        <w:rPr>
          <w:rFonts w:hint="eastAsia" w:hAnsi="宋体" w:cs="仿宋_GB2312"/>
          <w:color w:val="000000"/>
          <w:kern w:val="0"/>
          <w:sz w:val="31"/>
          <w:szCs w:val="31"/>
          <w:lang w:val="en-US" w:eastAsia="zh-CN" w:bidi="ar"/>
        </w:rPr>
        <w:t>4</w:t>
      </w:r>
      <w:r>
        <w:rPr>
          <w:rFonts w:hint="eastAsia" w:hAnsi="宋体" w:cs="仿宋_GB2312"/>
          <w:color w:val="000000"/>
          <w:kern w:val="0"/>
          <w:sz w:val="31"/>
          <w:szCs w:val="31"/>
          <w:lang w:bidi="ar"/>
        </w:rPr>
        <w:t>-202</w:t>
      </w:r>
      <w:r>
        <w:rPr>
          <w:rFonts w:hint="eastAsia" w:hAnsi="宋体" w:cs="仿宋_GB2312"/>
          <w:color w:val="000000"/>
          <w:kern w:val="0"/>
          <w:sz w:val="31"/>
          <w:szCs w:val="31"/>
          <w:lang w:val="en-US" w:eastAsia="zh-CN" w:bidi="ar"/>
        </w:rPr>
        <w:t>5</w:t>
      </w:r>
      <w:r>
        <w:rPr>
          <w:rFonts w:hint="eastAsia" w:hAnsi="宋体" w:cs="仿宋_GB2312"/>
          <w:color w:val="000000"/>
          <w:kern w:val="0"/>
          <w:sz w:val="31"/>
          <w:szCs w:val="31"/>
          <w:lang w:bidi="ar"/>
        </w:rPr>
        <w:t>学年，临沂艺术学校继续推进校企共建“双师”队伍，利用业余时间参加企业实践锻炼的专业教师</w:t>
      </w:r>
      <w:r>
        <w:rPr>
          <w:rFonts w:hint="eastAsia" w:hAnsi="宋体" w:cs="仿宋_GB2312"/>
          <w:color w:val="000000"/>
          <w:kern w:val="0"/>
          <w:sz w:val="31"/>
          <w:szCs w:val="31"/>
          <w:lang w:val="en-US" w:eastAsia="zh-CN" w:bidi="ar"/>
        </w:rPr>
        <w:t>150</w:t>
      </w:r>
      <w:r>
        <w:rPr>
          <w:rFonts w:hint="eastAsia" w:hAnsi="宋体" w:cs="仿宋_GB2312"/>
          <w:color w:val="000000"/>
          <w:kern w:val="0"/>
          <w:sz w:val="31"/>
          <w:szCs w:val="31"/>
          <w:lang w:bidi="ar"/>
        </w:rPr>
        <w:t>余人次，实时掌握行业企业最新发展动态。同时，学校与企业合作开展社会服务项目，与临沂小龙人教育信息咨询有限公司、临沂市舞加舞艺术培训、临沂云乐文化传播有限公司、临沂红色沂蒙文化演艺有限公司、临沂市云商之家有限公司、临沂市滨河景区经营有限公司、云乐文化传播有限公司等多家企业联合开展全省各个行业有关职业培训</w:t>
      </w:r>
      <w:r>
        <w:rPr>
          <w:rFonts w:hint="eastAsia" w:hAnsi="宋体" w:cs="仿宋_GB2312"/>
          <w:color w:val="000000"/>
          <w:kern w:val="0"/>
          <w:sz w:val="31"/>
          <w:szCs w:val="31"/>
          <w:lang w:val="en-US" w:eastAsia="zh-CN" w:bidi="ar"/>
        </w:rPr>
        <w:t>3000余</w:t>
      </w:r>
      <w:r>
        <w:rPr>
          <w:rFonts w:hint="eastAsia" w:hAnsi="宋体" w:cs="仿宋_GB2312"/>
          <w:color w:val="000000"/>
          <w:kern w:val="0"/>
          <w:sz w:val="31"/>
          <w:szCs w:val="31"/>
          <w:lang w:bidi="ar"/>
        </w:rPr>
        <w:t>人次。</w:t>
      </w:r>
    </w:p>
    <w:p w14:paraId="633414E2">
      <w:pPr>
        <w:pStyle w:val="3"/>
        <w:ind w:left="640"/>
        <w:rPr>
          <w:rFonts w:hint="eastAsia"/>
        </w:rPr>
      </w:pPr>
      <w:bookmarkStart w:id="19" w:name="_Toc187608111"/>
      <w:r>
        <w:rPr>
          <w:rFonts w:hint="eastAsia"/>
        </w:rPr>
        <w:t>4.2服务重大战略</w:t>
      </w:r>
      <w:bookmarkEnd w:id="19"/>
    </w:p>
    <w:p w14:paraId="6011FD96">
      <w:pPr>
        <w:ind w:firstLine="640" w:firstLineChars="200"/>
        <w:rPr>
          <w:rFonts w:hint="eastAsia"/>
        </w:rPr>
      </w:pPr>
      <w:r>
        <w:rPr>
          <w:rFonts w:hint="eastAsia"/>
        </w:rPr>
        <w:t>服务“乡村振兴”，开展美育共建。202</w:t>
      </w:r>
      <w:r>
        <w:rPr>
          <w:rFonts w:hint="eastAsia"/>
          <w:lang w:val="en-US" w:eastAsia="zh-CN"/>
        </w:rPr>
        <w:t>4</w:t>
      </w:r>
      <w:r>
        <w:rPr>
          <w:rFonts w:hint="eastAsia"/>
        </w:rPr>
        <w:t>-202</w:t>
      </w:r>
      <w:r>
        <w:rPr>
          <w:rFonts w:hint="eastAsia"/>
          <w:lang w:val="en-US" w:eastAsia="zh-CN"/>
        </w:rPr>
        <w:t>5</w:t>
      </w:r>
      <w:r>
        <w:rPr>
          <w:rFonts w:hint="eastAsia"/>
        </w:rPr>
        <w:t>学年，学校发挥自身专业优势，服务乡村文化振兴，学校党员教师身先士卒，走进</w:t>
      </w:r>
      <w:r>
        <w:rPr>
          <w:rFonts w:hint="eastAsia"/>
          <w:lang w:eastAsia="zh-CN"/>
        </w:rPr>
        <w:t>蒙阴县云蒙实验小学、</w:t>
      </w:r>
      <w:r>
        <w:rPr>
          <w:rFonts w:hint="eastAsia"/>
        </w:rPr>
        <w:t>郯城县庙山镇前海沿小学，开展美育共建和艺术专题培训。</w:t>
      </w:r>
    </w:p>
    <w:p w14:paraId="2D3A5B61">
      <w:pPr>
        <w:ind w:firstLine="640" w:firstLineChars="200"/>
        <w:rPr>
          <w:rFonts w:hint="eastAsia"/>
        </w:rPr>
      </w:pPr>
      <w:r>
        <w:rPr>
          <w:rFonts w:hint="eastAsia"/>
        </w:rPr>
        <w:t>服务“一带一路”，参与国际交流。2024</w:t>
      </w:r>
      <w:r>
        <w:rPr>
          <w:rFonts w:hint="eastAsia"/>
          <w:lang w:val="en-US" w:eastAsia="zh-CN"/>
        </w:rPr>
        <w:t>-2025学</w:t>
      </w:r>
      <w:r>
        <w:rPr>
          <w:rFonts w:hint="eastAsia"/>
        </w:rPr>
        <w:t>年，学校与哈萨克斯坦、马来西亚等国访问团开展交流访问活动，以开放进取的姿态展望未来，开辟更广阔的教育空间，在联合办学、出国留学、文化交流等方面取得有益成果，为服务“一带一路”建设添砖加瓦。</w:t>
      </w:r>
    </w:p>
    <w:p w14:paraId="32D063B1">
      <w:pPr>
        <w:ind w:firstLine="640" w:firstLineChars="200"/>
        <w:rPr>
          <w:rFonts w:hint="eastAsia"/>
        </w:rPr>
      </w:pPr>
      <w:r>
        <w:rPr>
          <w:rFonts w:hint="eastAsia"/>
        </w:rPr>
        <w:t>服务地方社区，助力文化惠民。本</w:t>
      </w:r>
      <w:r>
        <w:rPr>
          <w:rFonts w:hint="eastAsia"/>
          <w:lang w:eastAsia="zh-CN"/>
        </w:rPr>
        <w:t>学年</w:t>
      </w:r>
      <w:r>
        <w:rPr>
          <w:rFonts w:hint="eastAsia"/>
        </w:rPr>
        <w:t>，学校继续依托临沂市社区艺术学校资源优势，为沂河新区提供惠民文艺演出活动。组织学生参加马拉松志愿服务活动，展现新时代青年的责任与担当。师生携手，为临沂市第八届运动会开幕式、非遗春节晚会等文艺活动提供优质节目，为市民献上魅力非凡的文化盛宴。</w:t>
      </w:r>
    </w:p>
    <w:p w14:paraId="7F8D53C4">
      <w:pPr>
        <w:pStyle w:val="3"/>
        <w:ind w:left="640"/>
        <w:rPr>
          <w:rFonts w:hint="eastAsia"/>
        </w:rPr>
      </w:pPr>
      <w:bookmarkStart w:id="20" w:name="_Toc187608112"/>
      <w:r>
        <w:rPr>
          <w:rFonts w:hint="eastAsia"/>
        </w:rPr>
        <w:t>4.3服务技术技能人才培养</w:t>
      </w:r>
      <w:bookmarkEnd w:id="20"/>
    </w:p>
    <w:p w14:paraId="6BD37791">
      <w:pPr>
        <w:spacing w:line="360" w:lineRule="auto"/>
        <w:ind w:firstLine="620" w:firstLineChars="200"/>
        <w:rPr>
          <w:rFonts w:hint="eastAsia"/>
        </w:rPr>
      </w:pPr>
      <w:r>
        <w:rPr>
          <w:rFonts w:hint="eastAsia" w:hAnsi="宋体" w:cs="仿宋_GB2312"/>
          <w:color w:val="000000"/>
          <w:kern w:val="0"/>
          <w:sz w:val="31"/>
          <w:szCs w:val="31"/>
          <w:lang w:bidi="ar"/>
        </w:rPr>
        <w:t>我校重视职业技能培训工作。2024</w:t>
      </w:r>
      <w:r>
        <w:rPr>
          <w:rFonts w:hint="eastAsia" w:hAnsi="宋体" w:cs="仿宋_GB2312"/>
          <w:color w:val="000000"/>
          <w:kern w:val="0"/>
          <w:sz w:val="31"/>
          <w:szCs w:val="31"/>
          <w:lang w:val="en-US" w:eastAsia="zh-CN" w:bidi="ar"/>
        </w:rPr>
        <w:t>-2025</w:t>
      </w:r>
      <w:r>
        <w:rPr>
          <w:rFonts w:hint="eastAsia" w:hAnsi="宋体" w:cs="仿宋_GB2312"/>
          <w:color w:val="000000"/>
          <w:kern w:val="0"/>
          <w:sz w:val="31"/>
          <w:szCs w:val="31"/>
          <w:lang w:bidi="ar"/>
        </w:rPr>
        <w:t>学年，我校共培训校内外人才</w:t>
      </w:r>
      <w:r>
        <w:rPr>
          <w:rFonts w:hint="eastAsia" w:hAnsi="宋体" w:cs="仿宋_GB2312"/>
          <w:color w:val="000000"/>
          <w:kern w:val="0"/>
          <w:sz w:val="31"/>
          <w:szCs w:val="31"/>
          <w:lang w:val="en-US" w:eastAsia="zh-CN" w:bidi="ar"/>
        </w:rPr>
        <w:t>3950</w:t>
      </w:r>
      <w:r>
        <w:rPr>
          <w:rFonts w:hint="eastAsia" w:hAnsi="宋体" w:cs="仿宋_GB2312"/>
          <w:color w:val="000000"/>
          <w:kern w:val="0"/>
          <w:sz w:val="31"/>
          <w:szCs w:val="31"/>
          <w:lang w:bidi="ar"/>
        </w:rPr>
        <w:t>人次，主要包括：毕业生就业培训、1+X职业技能等级培训，跟岗实习学生岗前培训；聘请校外专家对我校进行专门的技术指导和技能培训；与青岛阜新大厦共同组织旅游专业职业技能培训等。通过培训，学员们的业务素质和综合素质都有了很大地提升。</w:t>
      </w:r>
    </w:p>
    <w:p w14:paraId="2A9EEF23">
      <w:pPr>
        <w:rPr>
          <w:rFonts w:hint="eastAsia" w:ascii="黑体" w:hAnsi="黑体" w:eastAsia="黑体"/>
          <w:b/>
          <w:bCs/>
        </w:rPr>
      </w:pPr>
      <w:r>
        <w:rPr>
          <w:rFonts w:hint="eastAsia" w:ascii="黑体" w:hAnsi="黑体" w:eastAsia="黑体"/>
          <w:b/>
          <w:bCs/>
        </w:rPr>
        <w:t>【案例4-1】走进云蒙实验小学开展美育共建活动</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30"/>
      </w:tblGrid>
      <w:tr w14:paraId="55450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30" w:type="dxa"/>
            <w:vAlign w:val="center"/>
          </w:tcPr>
          <w:p w14:paraId="3B4B5D3F">
            <w:pPr>
              <w:tabs>
                <w:tab w:val="left" w:pos="1125"/>
              </w:tabs>
              <w:spacing w:line="240" w:lineRule="auto"/>
              <w:ind w:firstLine="640" w:firstLineChars="200"/>
              <w:jc w:val="both"/>
              <w:rPr>
                <w:rFonts w:hint="eastAsia"/>
              </w:rPr>
            </w:pPr>
            <w:r>
              <w:rPr>
                <w:rFonts w:hint="eastAsia"/>
              </w:rPr>
              <w:t>10月22日上午，在临沂艺术学校教工第一党支部书记姚贵松的带领下，我校8名党员教师走进蒙阴县云蒙实验小学，开展美育进乡村公益实践活动，为乡村的孩子们带来了精彩纷呈的美术课程。秉持践行“大众美育、服务社会”的宗旨，临沂艺术学校美术部强化学校美育的育人功能，积极展开美育进乡村调研工作，并结合自身教学资源、专业优势，助力乡村美育工作的开展。课堂上，倪雯茹、黄敏老师给孩子们分享了自然与美的故事，通过将大自然中的美育元素融入到观察，讨论，游戏，绘画创作等课堂活动中，让乡村的孩子们体会到美术学习的乐趣，引导学生提升发现美，感受美，创作美的能力。</w:t>
            </w:r>
          </w:p>
        </w:tc>
      </w:tr>
      <w:tr w14:paraId="0F01B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30" w:type="dxa"/>
            <w:vAlign w:val="center"/>
          </w:tcPr>
          <w:p w14:paraId="40588723">
            <w:pPr>
              <w:tabs>
                <w:tab w:val="left" w:pos="1125"/>
              </w:tabs>
              <w:spacing w:line="240" w:lineRule="auto"/>
              <w:jc w:val="both"/>
              <w:rPr>
                <w:rFonts w:hint="eastAsia"/>
              </w:rPr>
            </w:pPr>
            <w:r>
              <w:rPr>
                <w:rFonts w:hint="eastAsia"/>
              </w:rPr>
              <w:drawing>
                <wp:inline distT="0" distB="0" distL="0" distR="0">
                  <wp:extent cx="5471795" cy="4118610"/>
                  <wp:effectExtent l="0" t="0" r="14605" b="15240"/>
                  <wp:docPr id="1245473671" name="图片 1245473671" descr="C:/Users/hp/Desktop/4-1.png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473671" name="图片 1245473671" descr="C:/Users/hp/Desktop/4-1.png4-1"/>
                          <pic:cNvPicPr>
                            <a:picLocks noChangeAspect="1"/>
                          </pic:cNvPicPr>
                        </pic:nvPicPr>
                        <pic:blipFill>
                          <a:blip r:embed="rId17"/>
                          <a:srcRect l="12735" r="12735"/>
                          <a:stretch>
                            <a:fillRect/>
                          </a:stretch>
                        </pic:blipFill>
                        <pic:spPr>
                          <a:xfrm>
                            <a:off x="0" y="0"/>
                            <a:ext cx="5472000" cy="4118610"/>
                          </a:xfrm>
                          <a:prstGeom prst="rect">
                            <a:avLst/>
                          </a:prstGeom>
                          <a:ln>
                            <a:noFill/>
                          </a:ln>
                        </pic:spPr>
                      </pic:pic>
                    </a:graphicData>
                  </a:graphic>
                </wp:inline>
              </w:drawing>
            </w:r>
          </w:p>
        </w:tc>
      </w:tr>
      <w:tr w14:paraId="61B22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730" w:type="dxa"/>
            <w:vAlign w:val="center"/>
          </w:tcPr>
          <w:p w14:paraId="54692B62">
            <w:pPr>
              <w:tabs>
                <w:tab w:val="left" w:pos="1125"/>
              </w:tabs>
              <w:spacing w:line="240" w:lineRule="auto"/>
              <w:jc w:val="center"/>
              <w:rPr>
                <w:rFonts w:hint="eastAsia" w:eastAsia="仿宋_GB2312"/>
                <w:b/>
                <w:bCs/>
                <w:lang w:eastAsia="zh-CN"/>
              </w:rPr>
            </w:pPr>
            <w:r>
              <w:rPr>
                <w:rFonts w:hint="eastAsia"/>
                <w:b/>
                <w:bCs/>
                <w:sz w:val="24"/>
                <w:szCs w:val="21"/>
              </w:rPr>
              <w:t>图4-1</w:t>
            </w:r>
            <w:r>
              <w:rPr>
                <w:b/>
                <w:bCs/>
                <w:sz w:val="24"/>
                <w:szCs w:val="21"/>
              </w:rPr>
              <w:t xml:space="preserve">  </w:t>
            </w:r>
            <w:r>
              <w:rPr>
                <w:rFonts w:hint="eastAsia"/>
                <w:b/>
                <w:bCs/>
                <w:sz w:val="24"/>
                <w:szCs w:val="21"/>
              </w:rPr>
              <w:t>临沂</w:t>
            </w:r>
            <w:r>
              <w:rPr>
                <w:rFonts w:hint="eastAsia"/>
                <w:b/>
                <w:bCs/>
                <w:sz w:val="24"/>
                <w:szCs w:val="21"/>
                <w:lang w:eastAsia="zh-CN"/>
              </w:rPr>
              <w:t>艺术学校教师在云蒙实验小学授课现场</w:t>
            </w:r>
          </w:p>
        </w:tc>
      </w:tr>
    </w:tbl>
    <w:p w14:paraId="0A1F903A">
      <w:pPr>
        <w:rPr>
          <w:rFonts w:hint="eastAsia" w:ascii="黑体" w:hAnsi="黑体" w:eastAsia="黑体"/>
          <w:b/>
          <w:bCs/>
          <w:color w:val="auto"/>
          <w:highlight w:val="none"/>
          <w:lang w:eastAsia="zh-CN"/>
        </w:rPr>
      </w:pPr>
      <w:r>
        <w:rPr>
          <w:rFonts w:hint="eastAsia" w:ascii="黑体" w:hAnsi="黑体" w:eastAsia="黑体"/>
          <w:b/>
          <w:bCs/>
          <w:color w:val="auto"/>
          <w:highlight w:val="none"/>
        </w:rPr>
        <w:t>【案例4-2】歌剧《沂蒙山》精选唱段进社区</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30"/>
      </w:tblGrid>
      <w:tr w14:paraId="1F153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30" w:type="dxa"/>
            <w:vAlign w:val="center"/>
          </w:tcPr>
          <w:p w14:paraId="44025AB1">
            <w:pPr>
              <w:tabs>
                <w:tab w:val="left" w:pos="1125"/>
              </w:tabs>
              <w:spacing w:line="240" w:lineRule="auto"/>
              <w:ind w:firstLine="640" w:firstLineChars="200"/>
              <w:jc w:val="both"/>
              <w:rPr>
                <w:rFonts w:hint="eastAsia"/>
                <w:color w:val="auto"/>
                <w:highlight w:val="none"/>
              </w:rPr>
            </w:pPr>
            <w:r>
              <w:rPr>
                <w:rFonts w:hint="eastAsia"/>
                <w:color w:val="auto"/>
                <w:highlight w:val="none"/>
              </w:rPr>
              <w:t>临沂艺术学校4名音乐表演专业学生在文化馆实习期间，走进社区开展“沂蒙精神代代传”主题宣讲活动。此次活动中，他们大胆创新，将所学音乐专业技能与沂蒙红色经典故事相结合，尤其巧妙运用了歌剧《沂蒙山》的大部分唱段，针对不同年龄段的基层民众开展宣传，取得了显著成效。在宣讲过程中，4名学生突破了传统宣讲模式的局限，创新性地以歌剧《沂蒙山》的唱段为重要载体，串联起一个个沂蒙红色经典故事。此次临沂艺术学校学生的创新实践，为沂蒙精神的宣传注入了新的活力，充分展现了青年一代传承红色基因、弘扬沂蒙精神的积极作为。相信在这样的创新推动下，沂蒙精神将在基层民众中得到更广泛、更深入的传承与弘扬。</w:t>
            </w:r>
          </w:p>
        </w:tc>
      </w:tr>
      <w:tr w14:paraId="3A7C1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30" w:type="dxa"/>
            <w:vAlign w:val="center"/>
          </w:tcPr>
          <w:p w14:paraId="333722D8">
            <w:pPr>
              <w:tabs>
                <w:tab w:val="left" w:pos="1125"/>
              </w:tabs>
              <w:spacing w:line="240" w:lineRule="auto"/>
              <w:jc w:val="both"/>
              <w:rPr>
                <w:rFonts w:hint="eastAsia"/>
              </w:rPr>
            </w:pPr>
            <w:r>
              <w:rPr>
                <w:rFonts w:hint="eastAsia"/>
              </w:rPr>
              <w:drawing>
                <wp:inline distT="0" distB="0" distL="0" distR="0">
                  <wp:extent cx="5471795" cy="4118610"/>
                  <wp:effectExtent l="0" t="0" r="14605" b="15240"/>
                  <wp:docPr id="12" name="图片 12" descr="C:/Users/hp/Desktop/4-2.jpg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hp/Desktop/4-2.jpg4-2"/>
                          <pic:cNvPicPr>
                            <a:picLocks noChangeAspect="1"/>
                          </pic:cNvPicPr>
                        </pic:nvPicPr>
                        <pic:blipFill>
                          <a:blip r:embed="rId18"/>
                          <a:srcRect l="12743" r="12743"/>
                          <a:stretch>
                            <a:fillRect/>
                          </a:stretch>
                        </pic:blipFill>
                        <pic:spPr>
                          <a:xfrm>
                            <a:off x="0" y="0"/>
                            <a:ext cx="5472000" cy="4118610"/>
                          </a:xfrm>
                          <a:prstGeom prst="rect">
                            <a:avLst/>
                          </a:prstGeom>
                          <a:ln>
                            <a:noFill/>
                          </a:ln>
                        </pic:spPr>
                      </pic:pic>
                    </a:graphicData>
                  </a:graphic>
                </wp:inline>
              </w:drawing>
            </w:r>
          </w:p>
        </w:tc>
      </w:tr>
      <w:tr w14:paraId="79EB1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730" w:type="dxa"/>
            <w:vAlign w:val="center"/>
          </w:tcPr>
          <w:p w14:paraId="0346DE8C">
            <w:pPr>
              <w:tabs>
                <w:tab w:val="left" w:pos="1125"/>
              </w:tabs>
              <w:spacing w:line="240" w:lineRule="auto"/>
              <w:jc w:val="center"/>
              <w:rPr>
                <w:rFonts w:hint="eastAsia" w:eastAsia="仿宋_GB2312"/>
                <w:b/>
                <w:bCs/>
                <w:lang w:eastAsia="zh-CN"/>
              </w:rPr>
            </w:pPr>
            <w:r>
              <w:rPr>
                <w:rFonts w:hint="eastAsia"/>
                <w:b/>
                <w:bCs/>
                <w:sz w:val="24"/>
                <w:szCs w:val="21"/>
                <w:highlight w:val="none"/>
              </w:rPr>
              <w:t>图4-</w:t>
            </w:r>
            <w:r>
              <w:rPr>
                <w:rFonts w:hint="eastAsia"/>
                <w:b/>
                <w:bCs/>
                <w:sz w:val="24"/>
                <w:szCs w:val="21"/>
                <w:highlight w:val="none"/>
                <w:lang w:val="en-US" w:eastAsia="zh-CN"/>
              </w:rPr>
              <w:t>2</w:t>
            </w:r>
            <w:r>
              <w:rPr>
                <w:b/>
                <w:bCs/>
                <w:sz w:val="24"/>
                <w:szCs w:val="21"/>
                <w:highlight w:val="none"/>
              </w:rPr>
              <w:t xml:space="preserve">  </w:t>
            </w:r>
            <w:r>
              <w:rPr>
                <w:rFonts w:hint="eastAsia"/>
                <w:b/>
                <w:bCs/>
                <w:sz w:val="24"/>
                <w:szCs w:val="21"/>
                <w:highlight w:val="none"/>
                <w:lang w:eastAsia="zh-CN"/>
              </w:rPr>
              <w:t>歌剧《沂蒙山》进社区活动现场</w:t>
            </w:r>
          </w:p>
        </w:tc>
      </w:tr>
    </w:tbl>
    <w:p w14:paraId="5443DDAE">
      <w:pPr>
        <w:widowControl/>
        <w:spacing w:line="240" w:lineRule="auto"/>
        <w:jc w:val="left"/>
        <w:rPr>
          <w:rFonts w:hint="eastAsia"/>
        </w:rPr>
      </w:pPr>
      <w:r>
        <w:rPr>
          <w:rFonts w:hint="eastAsia"/>
        </w:rPr>
        <w:br w:type="page"/>
      </w:r>
    </w:p>
    <w:p w14:paraId="4A9C4842">
      <w:pPr>
        <w:pStyle w:val="2"/>
        <w:ind w:left="640"/>
        <w:rPr>
          <w:rFonts w:hint="eastAsia"/>
        </w:rPr>
      </w:pPr>
      <w:bookmarkStart w:id="21" w:name="_Toc187608113"/>
      <w:r>
        <w:rPr>
          <w:rFonts w:hint="eastAsia"/>
        </w:rPr>
        <w:t>5.文化传承</w:t>
      </w:r>
      <w:bookmarkEnd w:id="21"/>
    </w:p>
    <w:p w14:paraId="688CE2F7">
      <w:pPr>
        <w:pStyle w:val="3"/>
        <w:ind w:left="640"/>
        <w:rPr>
          <w:rFonts w:hint="eastAsia"/>
        </w:rPr>
      </w:pPr>
      <w:bookmarkStart w:id="22" w:name="_Toc187608114"/>
      <w:r>
        <w:rPr>
          <w:rFonts w:hint="eastAsia"/>
        </w:rPr>
        <w:t>5.1传承工匠精神</w:t>
      </w:r>
      <w:bookmarkEnd w:id="22"/>
    </w:p>
    <w:p w14:paraId="7FEC1982">
      <w:pPr>
        <w:ind w:firstLine="640" w:firstLineChars="200"/>
        <w:rPr>
          <w:rFonts w:hint="eastAsia"/>
          <w:highlight w:val="none"/>
        </w:rPr>
      </w:pPr>
      <w:r>
        <w:rPr>
          <w:rFonts w:hint="eastAsia"/>
          <w:highlight w:val="none"/>
        </w:rPr>
        <w:t>本</w:t>
      </w:r>
      <w:r>
        <w:rPr>
          <w:rFonts w:hint="eastAsia"/>
          <w:highlight w:val="none"/>
          <w:lang w:eastAsia="zh-CN"/>
        </w:rPr>
        <w:t>学年</w:t>
      </w:r>
      <w:r>
        <w:rPr>
          <w:rFonts w:hint="eastAsia"/>
          <w:highlight w:val="none"/>
        </w:rPr>
        <w:t>，学校继续讲工匠精神融入教育教学全过程，通过课程设置、实践活动、专题讲座、校园文化等多种渠道，深化学生对工匠精神的认识和理解。学校积极承办了“凝心铸魂 齐心筑梦——巾帼劳模进校园同上一堂思政课”示范宣讲活动，马骏、石仁举、胡慧霞三位劳动模范分享了自己的工作经历和人生经验，为艺校学子带来了宝贵的精神滋养，引领广大学子坚定理想信念，在劳动中成就梦想。</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30"/>
      </w:tblGrid>
      <w:tr w14:paraId="2E681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30" w:type="dxa"/>
            <w:vAlign w:val="center"/>
          </w:tcPr>
          <w:p w14:paraId="1F9B9321">
            <w:pPr>
              <w:tabs>
                <w:tab w:val="left" w:pos="1125"/>
              </w:tabs>
              <w:spacing w:line="240" w:lineRule="auto"/>
              <w:jc w:val="center"/>
              <w:rPr>
                <w:rFonts w:hint="eastAsia"/>
              </w:rPr>
            </w:pPr>
            <w:r>
              <w:rPr>
                <w:rFonts w:hint="eastAsia"/>
              </w:rPr>
              <w:drawing>
                <wp:inline distT="0" distB="0" distL="0" distR="0">
                  <wp:extent cx="5471795" cy="2316480"/>
                  <wp:effectExtent l="0" t="0" r="0" b="7620"/>
                  <wp:docPr id="682021980" name="图片 68202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021980" name="图片 68202198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472000" cy="2316972"/>
                          </a:xfrm>
                          <a:prstGeom prst="rect">
                            <a:avLst/>
                          </a:prstGeom>
                          <a:ln>
                            <a:noFill/>
                          </a:ln>
                        </pic:spPr>
                      </pic:pic>
                    </a:graphicData>
                  </a:graphic>
                </wp:inline>
              </w:drawing>
            </w:r>
          </w:p>
        </w:tc>
      </w:tr>
      <w:tr w14:paraId="14B8A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730" w:type="dxa"/>
            <w:vAlign w:val="center"/>
          </w:tcPr>
          <w:p w14:paraId="6A95ED2C">
            <w:pPr>
              <w:tabs>
                <w:tab w:val="left" w:pos="1125"/>
              </w:tabs>
              <w:spacing w:line="240" w:lineRule="auto"/>
              <w:jc w:val="center"/>
              <w:rPr>
                <w:rFonts w:hint="eastAsia"/>
                <w:b/>
                <w:bCs/>
              </w:rPr>
            </w:pPr>
            <w:r>
              <w:rPr>
                <w:rFonts w:hint="eastAsia"/>
                <w:b/>
                <w:bCs/>
                <w:sz w:val="24"/>
                <w:szCs w:val="21"/>
                <w:highlight w:val="none"/>
              </w:rPr>
              <w:t>图5-1</w:t>
            </w:r>
            <w:r>
              <w:rPr>
                <w:b/>
                <w:bCs/>
                <w:sz w:val="24"/>
                <w:szCs w:val="21"/>
                <w:highlight w:val="none"/>
              </w:rPr>
              <w:t xml:space="preserve">  </w:t>
            </w:r>
            <w:r>
              <w:rPr>
                <w:rFonts w:hint="eastAsia"/>
                <w:b/>
                <w:bCs/>
                <w:sz w:val="24"/>
                <w:szCs w:val="21"/>
                <w:highlight w:val="none"/>
              </w:rPr>
              <w:t>“凝心铸魂 齐心筑梦——巾帼劳模进校园同上一堂思政课”现场</w:t>
            </w:r>
          </w:p>
        </w:tc>
      </w:tr>
    </w:tbl>
    <w:p w14:paraId="0C1C13FE">
      <w:pPr>
        <w:pStyle w:val="3"/>
        <w:ind w:left="640"/>
        <w:rPr>
          <w:rFonts w:hint="eastAsia"/>
        </w:rPr>
      </w:pPr>
      <w:bookmarkStart w:id="23" w:name="_Toc187608115"/>
      <w:r>
        <w:rPr>
          <w:rFonts w:hint="eastAsia"/>
        </w:rPr>
        <w:t>5.2传承红色基因</w:t>
      </w:r>
      <w:bookmarkEnd w:id="23"/>
    </w:p>
    <w:p w14:paraId="2C37B2D8">
      <w:pPr>
        <w:ind w:firstLine="640" w:firstLineChars="200"/>
        <w:rPr>
          <w:rFonts w:hint="eastAsia"/>
          <w:highlight w:val="none"/>
        </w:rPr>
      </w:pPr>
      <w:r>
        <w:rPr>
          <w:rFonts w:hint="eastAsia"/>
          <w:highlight w:val="none"/>
        </w:rPr>
        <w:t>2024</w:t>
      </w:r>
      <w:r>
        <w:rPr>
          <w:rFonts w:hint="eastAsia"/>
          <w:highlight w:val="none"/>
          <w:lang w:val="en-US" w:eastAsia="zh-CN"/>
        </w:rPr>
        <w:t>-2025学</w:t>
      </w:r>
      <w:r>
        <w:rPr>
          <w:rFonts w:hint="eastAsia"/>
          <w:highlight w:val="none"/>
        </w:rPr>
        <w:t>年，临沂艺术学校深入贯彻落实习近平总书记“用好红色资源，传承好红色基因，把红色江山世世代代传下去”的指导思想，将红色教育贯穿于教育教学全过程。一方面，通过思想政治课、历史课、语文课等学科，加强红色教育；另一方面，举办主题团日、沂蒙精神主题思政课、专题讲座、主题班会等活动，涵养学生家国情怀。</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30"/>
      </w:tblGrid>
      <w:tr w14:paraId="518E0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30" w:type="dxa"/>
            <w:vAlign w:val="center"/>
          </w:tcPr>
          <w:p w14:paraId="6FD4CB74">
            <w:pPr>
              <w:tabs>
                <w:tab w:val="left" w:pos="1125"/>
              </w:tabs>
              <w:spacing w:line="240" w:lineRule="auto"/>
              <w:jc w:val="center"/>
              <w:rPr>
                <w:rFonts w:hint="eastAsia"/>
              </w:rPr>
            </w:pPr>
            <w:r>
              <w:rPr>
                <w:rFonts w:hint="eastAsia"/>
              </w:rPr>
              <w:drawing>
                <wp:inline distT="0" distB="0" distL="0" distR="0">
                  <wp:extent cx="5471795" cy="3646170"/>
                  <wp:effectExtent l="0" t="0" r="14605" b="11430"/>
                  <wp:docPr id="2133557719" name="图片 2133557719" descr="C:/Users/hp/Desktop/5-2.jpg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57719" name="图片 2133557719" descr="C:/Users/hp/Desktop/5-2.jpg5-2"/>
                          <pic:cNvPicPr>
                            <a:picLocks noChangeAspect="1"/>
                          </pic:cNvPicPr>
                        </pic:nvPicPr>
                        <pic:blipFill>
                          <a:blip r:embed="rId20"/>
                          <a:srcRect t="5576" b="5576"/>
                          <a:stretch>
                            <a:fillRect/>
                          </a:stretch>
                        </pic:blipFill>
                        <pic:spPr>
                          <a:xfrm>
                            <a:off x="0" y="0"/>
                            <a:ext cx="5471795" cy="3646575"/>
                          </a:xfrm>
                          <a:prstGeom prst="rect">
                            <a:avLst/>
                          </a:prstGeom>
                          <a:ln>
                            <a:noFill/>
                          </a:ln>
                        </pic:spPr>
                      </pic:pic>
                    </a:graphicData>
                  </a:graphic>
                </wp:inline>
              </w:drawing>
            </w:r>
          </w:p>
        </w:tc>
      </w:tr>
      <w:tr w14:paraId="2357B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730" w:type="dxa"/>
            <w:vAlign w:val="center"/>
          </w:tcPr>
          <w:p w14:paraId="511B6753">
            <w:pPr>
              <w:tabs>
                <w:tab w:val="left" w:pos="1125"/>
              </w:tabs>
              <w:spacing w:line="240" w:lineRule="auto"/>
              <w:jc w:val="center"/>
              <w:rPr>
                <w:rFonts w:hint="eastAsia" w:eastAsia="仿宋_GB2312"/>
                <w:b/>
                <w:bCs/>
                <w:lang w:eastAsia="zh-CN"/>
              </w:rPr>
            </w:pPr>
            <w:r>
              <w:rPr>
                <w:rFonts w:hint="eastAsia"/>
                <w:b/>
                <w:bCs/>
                <w:sz w:val="24"/>
                <w:szCs w:val="21"/>
                <w:highlight w:val="none"/>
              </w:rPr>
              <w:t>图5-2</w:t>
            </w:r>
            <w:r>
              <w:rPr>
                <w:b/>
                <w:bCs/>
                <w:sz w:val="24"/>
                <w:szCs w:val="21"/>
                <w:highlight w:val="none"/>
              </w:rPr>
              <w:t xml:space="preserve">  </w:t>
            </w:r>
            <w:r>
              <w:rPr>
                <w:rFonts w:hint="eastAsia"/>
                <w:b/>
                <w:bCs/>
                <w:sz w:val="24"/>
                <w:szCs w:val="21"/>
                <w:highlight w:val="none"/>
              </w:rPr>
              <w:t>临沂艺术学校</w:t>
            </w:r>
            <w:r>
              <w:rPr>
                <w:rFonts w:hint="eastAsia"/>
                <w:b/>
                <w:bCs/>
                <w:sz w:val="24"/>
                <w:szCs w:val="21"/>
                <w:highlight w:val="none"/>
                <w:lang w:eastAsia="zh-CN"/>
              </w:rPr>
              <w:t>学生</w:t>
            </w:r>
            <w:r>
              <w:rPr>
                <w:rFonts w:hint="eastAsia"/>
                <w:b/>
                <w:bCs/>
                <w:sz w:val="24"/>
                <w:szCs w:val="21"/>
                <w:highlight w:val="none"/>
              </w:rPr>
              <w:t>在</w:t>
            </w:r>
            <w:r>
              <w:rPr>
                <w:rFonts w:hint="eastAsia"/>
                <w:b/>
                <w:bCs/>
                <w:sz w:val="24"/>
                <w:szCs w:val="21"/>
                <w:highlight w:val="none"/>
                <w:lang w:eastAsia="zh-CN"/>
              </w:rPr>
              <w:t>沂蒙革命纪念馆参观学习</w:t>
            </w:r>
          </w:p>
        </w:tc>
      </w:tr>
    </w:tbl>
    <w:p w14:paraId="7634AC8A">
      <w:pPr>
        <w:pStyle w:val="3"/>
        <w:ind w:left="640"/>
        <w:rPr>
          <w:rFonts w:hint="eastAsia"/>
        </w:rPr>
      </w:pPr>
      <w:bookmarkStart w:id="24" w:name="_Toc187608116"/>
      <w:r>
        <w:rPr>
          <w:rFonts w:hint="eastAsia"/>
        </w:rPr>
        <w:t>5.3传承优秀传统文化</w:t>
      </w:r>
      <w:bookmarkEnd w:id="24"/>
    </w:p>
    <w:p w14:paraId="5DCC15E1">
      <w:pPr>
        <w:ind w:firstLine="640" w:firstLineChars="200"/>
        <w:rPr>
          <w:rFonts w:hint="eastAsia" w:hAnsi="仿宋_GB2312" w:cs="仿宋_GB2312"/>
          <w:szCs w:val="32"/>
          <w:highlight w:val="none"/>
        </w:rPr>
      </w:pPr>
      <w:r>
        <w:rPr>
          <w:rFonts w:hint="eastAsia" w:hAnsi="仿宋_GB2312" w:cs="仿宋_GB2312"/>
          <w:szCs w:val="32"/>
          <w:highlight w:val="none"/>
        </w:rPr>
        <w:t>中华优秀传统文化是中华民族的根与魂，学校始终把中华优秀传统文化教育作为落实立德树人根本任务的重要环节，坚持知识传授与价值引领相结合，发挥学校艺术职业教育特色，组织学生参与非物质文化遗产的传承与保护，开展民间艺术、传统工艺活动，在学生审美能力的培育养成中培根铸魂，引领学生文化自觉，塑造文化自信。</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30"/>
      </w:tblGrid>
      <w:tr w14:paraId="617C1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30" w:type="dxa"/>
            <w:vAlign w:val="center"/>
          </w:tcPr>
          <w:p w14:paraId="79703A5E">
            <w:pPr>
              <w:tabs>
                <w:tab w:val="left" w:pos="1125"/>
              </w:tabs>
              <w:spacing w:line="240" w:lineRule="auto"/>
              <w:jc w:val="center"/>
              <w:rPr>
                <w:rFonts w:hint="eastAsia"/>
              </w:rPr>
            </w:pPr>
            <w:r>
              <w:rPr>
                <w:rFonts w:hint="eastAsia"/>
              </w:rPr>
              <w:drawing>
                <wp:inline distT="0" distB="0" distL="0" distR="0">
                  <wp:extent cx="5471795" cy="4103370"/>
                  <wp:effectExtent l="0" t="0" r="14605" b="11430"/>
                  <wp:docPr id="1163701285" name="图片 1163701285" descr="C:/Users/hp/Desktop/5-3.jpg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701285" name="图片 1163701285" descr="C:/Users/hp/Desktop/5-3.jpg5-3"/>
                          <pic:cNvPicPr>
                            <a:picLocks noChangeAspect="1"/>
                          </pic:cNvPicPr>
                        </pic:nvPicPr>
                        <pic:blipFill>
                          <a:blip r:embed="rId21"/>
                          <a:srcRect l="6616" r="6616"/>
                          <a:stretch>
                            <a:fillRect/>
                          </a:stretch>
                        </pic:blipFill>
                        <pic:spPr>
                          <a:xfrm>
                            <a:off x="0" y="0"/>
                            <a:ext cx="5472000" cy="4103370"/>
                          </a:xfrm>
                          <a:prstGeom prst="rect">
                            <a:avLst/>
                          </a:prstGeom>
                          <a:ln>
                            <a:noFill/>
                          </a:ln>
                        </pic:spPr>
                      </pic:pic>
                    </a:graphicData>
                  </a:graphic>
                </wp:inline>
              </w:drawing>
            </w:r>
          </w:p>
        </w:tc>
      </w:tr>
      <w:tr w14:paraId="53E42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730" w:type="dxa"/>
            <w:vAlign w:val="center"/>
          </w:tcPr>
          <w:p w14:paraId="714A8BDA">
            <w:pPr>
              <w:tabs>
                <w:tab w:val="left" w:pos="1125"/>
              </w:tabs>
              <w:spacing w:line="240" w:lineRule="auto"/>
              <w:jc w:val="center"/>
              <w:rPr>
                <w:rFonts w:hint="eastAsia" w:eastAsia="仿宋_GB2312"/>
                <w:b/>
                <w:bCs/>
                <w:lang w:eastAsia="zh-CN"/>
              </w:rPr>
            </w:pPr>
            <w:r>
              <w:rPr>
                <w:rFonts w:hint="eastAsia"/>
                <w:b/>
                <w:bCs/>
                <w:sz w:val="24"/>
                <w:szCs w:val="21"/>
                <w:highlight w:val="none"/>
              </w:rPr>
              <w:t>图5-3</w:t>
            </w:r>
            <w:r>
              <w:rPr>
                <w:b/>
                <w:bCs/>
                <w:sz w:val="24"/>
                <w:szCs w:val="21"/>
                <w:highlight w:val="none"/>
              </w:rPr>
              <w:t xml:space="preserve">  </w:t>
            </w:r>
            <w:r>
              <w:rPr>
                <w:rFonts w:hint="eastAsia"/>
                <w:b/>
                <w:bCs/>
                <w:sz w:val="24"/>
                <w:szCs w:val="21"/>
                <w:highlight w:val="none"/>
                <w:lang w:eastAsia="zh-CN"/>
              </w:rPr>
              <w:t>戏曲进校园走进临沂艺术学校</w:t>
            </w:r>
          </w:p>
        </w:tc>
      </w:tr>
    </w:tbl>
    <w:p w14:paraId="73AB77D4">
      <w:pPr>
        <w:rPr>
          <w:rFonts w:hint="eastAsia" w:ascii="黑体" w:hAnsi="黑体" w:eastAsia="黑体"/>
          <w:b/>
          <w:bCs/>
          <w:highlight w:val="none"/>
        </w:rPr>
      </w:pPr>
      <w:r>
        <w:rPr>
          <w:rFonts w:hint="eastAsia" w:ascii="黑体" w:hAnsi="黑体" w:eastAsia="黑体"/>
          <w:b/>
          <w:bCs/>
          <w:highlight w:val="none"/>
        </w:rPr>
        <w:t>【案例5-1】“我为英雄描碑文”爱国主义教育活动</w:t>
      </w:r>
    </w:p>
    <w:p w14:paraId="5200CB6E">
      <w:pPr>
        <w:ind w:firstLine="640" w:firstLineChars="200"/>
        <w:rPr>
          <w:rFonts w:hint="eastAsia"/>
          <w:highlight w:val="none"/>
        </w:rPr>
      </w:pPr>
      <w:r>
        <w:rPr>
          <w:rFonts w:hint="eastAsia"/>
          <w:highlight w:val="none"/>
        </w:rPr>
        <w:t>3月31日，为缅怀革命先烈，传承红色基因，临沂艺术学校美术部师生前往华东革命烈士陵园，开展“我为英雄描碑文”爱国主义教育活动。同学们站在庄严肃穆的纪念碑前，感受着充盈于天地间的英雄浩然气。一撇一捺都是脊梁,一思一念皆是未来。通过这次活动，全体师生进一步增强了历史责任感和使命感，更加坚定了弘扬英烈精神、传承红色基因、铸牢中华民族共同体意识的信念。同学们纷纷表示，将以革命先烈为榜样，努力学习，锤炼品德，为祖国的美好明天而努力奋斗。</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30"/>
      </w:tblGrid>
      <w:tr w14:paraId="3F70D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30" w:type="dxa"/>
            <w:vAlign w:val="center"/>
          </w:tcPr>
          <w:p w14:paraId="03892583">
            <w:pPr>
              <w:tabs>
                <w:tab w:val="left" w:pos="1125"/>
              </w:tabs>
              <w:spacing w:line="240" w:lineRule="auto"/>
              <w:jc w:val="center"/>
              <w:rPr>
                <w:rFonts w:hint="eastAsia"/>
              </w:rPr>
            </w:pPr>
            <w:r>
              <w:rPr>
                <w:rFonts w:hint="eastAsia"/>
              </w:rPr>
              <w:drawing>
                <wp:inline distT="0" distB="0" distL="0" distR="0">
                  <wp:extent cx="5471795" cy="3647440"/>
                  <wp:effectExtent l="0" t="0" r="14605" b="10160"/>
                  <wp:docPr id="393802842" name="图片 393802842" descr="C:/Users/hp/Desktop/5-4.jpg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02842" name="图片 393802842" descr="C:/Users/hp/Desktop/5-4.jpg5-4"/>
                          <pic:cNvPicPr>
                            <a:picLocks noChangeAspect="1"/>
                          </pic:cNvPicPr>
                        </pic:nvPicPr>
                        <pic:blipFill>
                          <a:blip r:embed="rId22"/>
                          <a:srcRect l="17" r="17"/>
                          <a:stretch>
                            <a:fillRect/>
                          </a:stretch>
                        </pic:blipFill>
                        <pic:spPr>
                          <a:xfrm>
                            <a:off x="0" y="0"/>
                            <a:ext cx="5472000" cy="3647440"/>
                          </a:xfrm>
                          <a:prstGeom prst="rect">
                            <a:avLst/>
                          </a:prstGeom>
                          <a:ln>
                            <a:noFill/>
                          </a:ln>
                        </pic:spPr>
                      </pic:pic>
                    </a:graphicData>
                  </a:graphic>
                </wp:inline>
              </w:drawing>
            </w:r>
          </w:p>
        </w:tc>
      </w:tr>
      <w:tr w14:paraId="208BA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730" w:type="dxa"/>
            <w:vAlign w:val="center"/>
          </w:tcPr>
          <w:p w14:paraId="661A7872">
            <w:pPr>
              <w:tabs>
                <w:tab w:val="left" w:pos="1125"/>
              </w:tabs>
              <w:spacing w:line="240" w:lineRule="auto"/>
              <w:jc w:val="center"/>
              <w:rPr>
                <w:rFonts w:hint="eastAsia" w:eastAsia="仿宋_GB2312"/>
                <w:b/>
                <w:bCs/>
                <w:lang w:eastAsia="zh-CN"/>
              </w:rPr>
            </w:pPr>
            <w:r>
              <w:rPr>
                <w:rFonts w:hint="eastAsia"/>
                <w:b/>
                <w:bCs/>
                <w:sz w:val="24"/>
                <w:szCs w:val="21"/>
                <w:highlight w:val="none"/>
              </w:rPr>
              <w:t>图5-4</w:t>
            </w:r>
            <w:r>
              <w:rPr>
                <w:b/>
                <w:bCs/>
                <w:sz w:val="24"/>
                <w:szCs w:val="21"/>
                <w:highlight w:val="none"/>
              </w:rPr>
              <w:t xml:space="preserve">  </w:t>
            </w:r>
            <w:r>
              <w:rPr>
                <w:rFonts w:hint="eastAsia"/>
                <w:b/>
                <w:bCs/>
                <w:sz w:val="24"/>
                <w:szCs w:val="21"/>
                <w:highlight w:val="none"/>
              </w:rPr>
              <w:t>“我为英雄描碑文”</w:t>
            </w:r>
            <w:r>
              <w:rPr>
                <w:rFonts w:hint="eastAsia"/>
                <w:b/>
                <w:bCs/>
                <w:sz w:val="24"/>
                <w:szCs w:val="21"/>
                <w:highlight w:val="none"/>
                <w:lang w:eastAsia="zh-CN"/>
              </w:rPr>
              <w:t>活动现场</w:t>
            </w:r>
          </w:p>
        </w:tc>
      </w:tr>
    </w:tbl>
    <w:p w14:paraId="28D86059">
      <w:pPr>
        <w:rPr>
          <w:rFonts w:hint="eastAsia" w:ascii="黑体" w:hAnsi="黑体" w:eastAsia="黑体"/>
          <w:b/>
          <w:bCs/>
          <w:highlight w:val="none"/>
        </w:rPr>
      </w:pPr>
      <w:r>
        <w:rPr>
          <w:rFonts w:hint="eastAsia" w:ascii="黑体" w:hAnsi="黑体" w:eastAsia="黑体"/>
          <w:b/>
          <w:bCs/>
          <w:highlight w:val="none"/>
        </w:rPr>
        <w:t>【案例5-2】苗氏剪纸传承人来校指导教学工作</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30"/>
      </w:tblGrid>
      <w:tr w14:paraId="0FC1C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30" w:type="dxa"/>
            <w:vAlign w:val="center"/>
          </w:tcPr>
          <w:p w14:paraId="46B102B5">
            <w:pPr>
              <w:tabs>
                <w:tab w:val="left" w:pos="1125"/>
              </w:tabs>
              <w:spacing w:line="240" w:lineRule="auto"/>
              <w:ind w:firstLine="640" w:firstLineChars="200"/>
              <w:jc w:val="both"/>
              <w:rPr>
                <w:rFonts w:hint="eastAsia"/>
                <w:highlight w:val="none"/>
              </w:rPr>
            </w:pPr>
            <w:r>
              <w:rPr>
                <w:rFonts w:hint="eastAsia"/>
                <w:highlight w:val="none"/>
              </w:rPr>
              <w:t>3月13日，临沂市级非物质文化遗产项目——苗氏剪纸第五代传承人苗苗老师莅临我校，为师生们带来了一场精彩纷呈的剪纸艺术盛宴。苗老师与科室领导、教师代表、学生代表齐聚一堂，共话剪纸艺术传承与发展。座谈会上，苗老师深情回顾了苗氏剪纸的百年传承历程，从祖辈的匠心独运到如今的创新发展，一幅幅精美的剪纸作品背后，是几代人对传统文化的坚守与热爱。会谈后，苗老师走进手工实训室，手把手指导学生们进行剪纸创作。从折纸、画稿到剪刻，苗老师耐心讲解每一个步骤，并亲自示范，将复杂的剪纸技巧化繁为简。在老师的指导下，学生们纷纷拿起剪刀，用心感受剪纸艺术的魅力，一张张红纸在指尖翻飞，化作一幅幅栩栩如生的图案。</w:t>
            </w:r>
          </w:p>
        </w:tc>
      </w:tr>
      <w:tr w14:paraId="4436F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30" w:type="dxa"/>
            <w:vAlign w:val="center"/>
          </w:tcPr>
          <w:p w14:paraId="21A057EA">
            <w:pPr>
              <w:tabs>
                <w:tab w:val="left" w:pos="1125"/>
              </w:tabs>
              <w:spacing w:line="240" w:lineRule="auto"/>
              <w:jc w:val="both"/>
              <w:rPr>
                <w:rFonts w:hint="eastAsia"/>
                <w:highlight w:val="yellow"/>
              </w:rPr>
            </w:pPr>
            <w:r>
              <w:rPr>
                <w:rFonts w:hint="eastAsia"/>
              </w:rPr>
              <w:drawing>
                <wp:inline distT="0" distB="0" distL="0" distR="0">
                  <wp:extent cx="5471795" cy="4103370"/>
                  <wp:effectExtent l="0" t="0" r="14605" b="11430"/>
                  <wp:docPr id="130089084" name="图片 130089084" descr="C:/Users/hp/Desktop/5-5.jpg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89084" name="图片 130089084" descr="C:/Users/hp/Desktop/5-5.jpg5-5"/>
                          <pic:cNvPicPr>
                            <a:picLocks noChangeAspect="1"/>
                          </pic:cNvPicPr>
                        </pic:nvPicPr>
                        <pic:blipFill>
                          <a:blip r:embed="rId23"/>
                          <a:srcRect t="12" b="12"/>
                          <a:stretch>
                            <a:fillRect/>
                          </a:stretch>
                        </pic:blipFill>
                        <pic:spPr>
                          <a:xfrm>
                            <a:off x="0" y="0"/>
                            <a:ext cx="5471795" cy="4104000"/>
                          </a:xfrm>
                          <a:prstGeom prst="rect">
                            <a:avLst/>
                          </a:prstGeom>
                          <a:ln>
                            <a:noFill/>
                          </a:ln>
                        </pic:spPr>
                      </pic:pic>
                    </a:graphicData>
                  </a:graphic>
                </wp:inline>
              </w:drawing>
            </w:r>
          </w:p>
        </w:tc>
      </w:tr>
      <w:tr w14:paraId="2C6D5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730" w:type="dxa"/>
            <w:vAlign w:val="center"/>
          </w:tcPr>
          <w:p w14:paraId="17FEFE45">
            <w:pPr>
              <w:tabs>
                <w:tab w:val="left" w:pos="1125"/>
              </w:tabs>
              <w:spacing w:line="240" w:lineRule="auto"/>
              <w:jc w:val="center"/>
              <w:rPr>
                <w:rFonts w:hint="eastAsia" w:eastAsia="仿宋_GB2312"/>
                <w:b/>
                <w:bCs/>
                <w:lang w:eastAsia="zh-CN"/>
              </w:rPr>
            </w:pPr>
            <w:r>
              <w:rPr>
                <w:rFonts w:hint="eastAsia"/>
                <w:b/>
                <w:bCs/>
                <w:sz w:val="24"/>
                <w:szCs w:val="21"/>
                <w:highlight w:val="none"/>
              </w:rPr>
              <w:t>图5-5</w:t>
            </w:r>
            <w:r>
              <w:rPr>
                <w:b/>
                <w:bCs/>
                <w:sz w:val="24"/>
                <w:szCs w:val="21"/>
                <w:highlight w:val="none"/>
              </w:rPr>
              <w:t xml:space="preserve">  </w:t>
            </w:r>
            <w:r>
              <w:rPr>
                <w:rFonts w:hint="eastAsia"/>
                <w:b/>
                <w:bCs/>
                <w:sz w:val="24"/>
                <w:szCs w:val="21"/>
                <w:highlight w:val="none"/>
                <w:lang w:eastAsia="zh-CN"/>
              </w:rPr>
              <w:t>苗氏剪纸传承人指导学生剪纸创作</w:t>
            </w:r>
          </w:p>
        </w:tc>
      </w:tr>
    </w:tbl>
    <w:p w14:paraId="790DF249">
      <w:pPr>
        <w:rPr>
          <w:rFonts w:hint="eastAsia"/>
        </w:rPr>
      </w:pPr>
    </w:p>
    <w:p w14:paraId="2714D1BB">
      <w:pPr>
        <w:widowControl/>
        <w:spacing w:line="240" w:lineRule="auto"/>
        <w:jc w:val="left"/>
        <w:rPr>
          <w:rFonts w:hint="eastAsia"/>
        </w:rPr>
      </w:pPr>
      <w:r>
        <w:rPr>
          <w:rFonts w:hint="eastAsia"/>
        </w:rPr>
        <w:br w:type="page"/>
      </w:r>
    </w:p>
    <w:p w14:paraId="64BECC79">
      <w:pPr>
        <w:pStyle w:val="2"/>
        <w:ind w:left="640"/>
        <w:rPr>
          <w:rFonts w:hint="eastAsia"/>
        </w:rPr>
      </w:pPr>
      <w:bookmarkStart w:id="25" w:name="_Toc187608117"/>
      <w:r>
        <w:rPr>
          <w:rFonts w:hint="eastAsia"/>
        </w:rPr>
        <w:t>6.国际合作</w:t>
      </w:r>
      <w:bookmarkEnd w:id="25"/>
    </w:p>
    <w:p w14:paraId="06B71A1F">
      <w:pPr>
        <w:pStyle w:val="3"/>
        <w:ind w:left="640"/>
        <w:rPr>
          <w:rFonts w:hint="eastAsia"/>
        </w:rPr>
      </w:pPr>
      <w:bookmarkStart w:id="26" w:name="_Toc187608118"/>
      <w:r>
        <w:rPr>
          <w:rFonts w:hint="eastAsia"/>
        </w:rPr>
        <w:t>6.1合作办学</w:t>
      </w:r>
      <w:bookmarkEnd w:id="26"/>
    </w:p>
    <w:p w14:paraId="3971DAC6">
      <w:pPr>
        <w:ind w:firstLine="640" w:firstLineChars="200"/>
        <w:rPr>
          <w:rFonts w:hint="eastAsia"/>
        </w:rPr>
      </w:pPr>
      <w:r>
        <w:rPr>
          <w:rFonts w:hint="eastAsia"/>
        </w:rPr>
        <w:t>为解决毕业生出国深造的的愿望和需求，临沂艺术学校在积极开展国际间的横向联合。2024</w:t>
      </w:r>
      <w:r>
        <w:rPr>
          <w:rFonts w:hint="eastAsia"/>
          <w:lang w:val="en-US" w:eastAsia="zh-CN"/>
        </w:rPr>
        <w:t>-2025学</w:t>
      </w:r>
      <w:r>
        <w:rPr>
          <w:rFonts w:hint="eastAsia"/>
        </w:rPr>
        <w:t>年，马来西亚苏丹伊德里斯教育大学访问团到临沂艺术学校开展交流访问活动，就两校之间的国际办学与合作事宜进行洽谈。双方就艺术教育课程设置、语言培训、学生培养、艺术交流、实践教学等进行了深入交流，并达成共识，并签订了战略合作协议。</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30"/>
      </w:tblGrid>
      <w:tr w14:paraId="15B9C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30" w:type="dxa"/>
            <w:vAlign w:val="center"/>
          </w:tcPr>
          <w:p w14:paraId="5FE2AAA8">
            <w:pPr>
              <w:tabs>
                <w:tab w:val="left" w:pos="1125"/>
              </w:tabs>
              <w:spacing w:line="240" w:lineRule="auto"/>
              <w:jc w:val="center"/>
              <w:rPr>
                <w:rFonts w:hint="eastAsia"/>
              </w:rPr>
            </w:pPr>
            <w:r>
              <w:rPr>
                <w:rFonts w:hint="eastAsia"/>
              </w:rPr>
              <w:drawing>
                <wp:inline distT="0" distB="0" distL="0" distR="0">
                  <wp:extent cx="5471795" cy="3646170"/>
                  <wp:effectExtent l="0" t="0" r="0" b="0"/>
                  <wp:docPr id="337336431" name="图片 337336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36431" name="图片 33733643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472000" cy="3646575"/>
                          </a:xfrm>
                          <a:prstGeom prst="rect">
                            <a:avLst/>
                          </a:prstGeom>
                          <a:ln>
                            <a:noFill/>
                          </a:ln>
                        </pic:spPr>
                      </pic:pic>
                    </a:graphicData>
                  </a:graphic>
                </wp:inline>
              </w:drawing>
            </w:r>
          </w:p>
        </w:tc>
      </w:tr>
      <w:tr w14:paraId="4760E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730" w:type="dxa"/>
            <w:vAlign w:val="center"/>
          </w:tcPr>
          <w:p w14:paraId="135BE4B0">
            <w:pPr>
              <w:tabs>
                <w:tab w:val="left" w:pos="1125"/>
              </w:tabs>
              <w:spacing w:line="240" w:lineRule="auto"/>
              <w:jc w:val="center"/>
              <w:rPr>
                <w:rFonts w:hint="eastAsia"/>
                <w:b/>
                <w:bCs/>
              </w:rPr>
            </w:pPr>
            <w:r>
              <w:rPr>
                <w:rFonts w:hint="eastAsia"/>
                <w:b/>
                <w:bCs/>
                <w:sz w:val="24"/>
                <w:szCs w:val="21"/>
                <w:highlight w:val="none"/>
              </w:rPr>
              <w:t>图6-1</w:t>
            </w:r>
            <w:r>
              <w:rPr>
                <w:b/>
                <w:bCs/>
                <w:sz w:val="24"/>
                <w:szCs w:val="21"/>
                <w:highlight w:val="none"/>
              </w:rPr>
              <w:t xml:space="preserve">  </w:t>
            </w:r>
            <w:r>
              <w:rPr>
                <w:rFonts w:hint="eastAsia"/>
                <w:b/>
                <w:bCs/>
                <w:sz w:val="24"/>
                <w:szCs w:val="21"/>
                <w:highlight w:val="none"/>
              </w:rPr>
              <w:t>临沂艺术学校与马来西亚苏丹伊德里斯教育大学建立合作</w:t>
            </w:r>
          </w:p>
        </w:tc>
      </w:tr>
    </w:tbl>
    <w:p w14:paraId="6B895FF4">
      <w:pPr>
        <w:pStyle w:val="3"/>
        <w:ind w:left="640"/>
        <w:rPr>
          <w:rFonts w:hint="eastAsia"/>
        </w:rPr>
      </w:pPr>
      <w:bookmarkStart w:id="27" w:name="_Toc187608119"/>
      <w:r>
        <w:rPr>
          <w:rFonts w:hint="eastAsia"/>
        </w:rPr>
        <w:t>6.2交流互鉴</w:t>
      </w:r>
      <w:bookmarkEnd w:id="27"/>
    </w:p>
    <w:p w14:paraId="103305C2">
      <w:pPr>
        <w:ind w:firstLine="640" w:firstLineChars="200"/>
        <w:rPr>
          <w:rFonts w:hint="eastAsia"/>
        </w:rPr>
      </w:pPr>
      <w:r>
        <w:rPr>
          <w:rFonts w:hint="eastAsia"/>
        </w:rPr>
        <w:t>2024</w:t>
      </w:r>
      <w:r>
        <w:rPr>
          <w:rFonts w:hint="eastAsia"/>
          <w:lang w:val="en-US" w:eastAsia="zh-CN"/>
        </w:rPr>
        <w:t>-2025学</w:t>
      </w:r>
      <w:r>
        <w:rPr>
          <w:rFonts w:hint="eastAsia"/>
        </w:rPr>
        <w:t>年，学校与哈萨克斯坦、马来西亚等国访问团开展交流访问活动。通过展示学校美术馆、大剧院、音乐厅、排练厅等教学实训场所，以及师生的精彩演出和实践课观摩，临沂艺术学校艺术职业教育特色成果赢得了国际友人的高度赞赏。未来，学校将一步加强国际交流与合作，以开放进取的姿态展望未来，开辟更广阔的教育空间，在联合办学、出国留学、文化交流等方面取得有益成果。</w:t>
      </w:r>
    </w:p>
    <w:p w14:paraId="1070AF88">
      <w:pPr>
        <w:widowControl/>
        <w:spacing w:line="240" w:lineRule="auto"/>
        <w:jc w:val="left"/>
        <w:rPr>
          <w:rFonts w:hint="eastAsia"/>
        </w:rPr>
      </w:pPr>
      <w:r>
        <w:rPr>
          <w:rFonts w:hint="eastAsia"/>
        </w:rPr>
        <w:br w:type="page"/>
      </w:r>
    </w:p>
    <w:p w14:paraId="4E0AB5E5">
      <w:pPr>
        <w:pStyle w:val="2"/>
        <w:ind w:left="640"/>
        <w:rPr>
          <w:rFonts w:hint="eastAsia"/>
        </w:rPr>
      </w:pPr>
      <w:bookmarkStart w:id="28" w:name="_Toc187608120"/>
      <w:r>
        <w:rPr>
          <w:rFonts w:hint="eastAsia"/>
        </w:rPr>
        <w:t>7.产教融合</w:t>
      </w:r>
      <w:bookmarkEnd w:id="28"/>
    </w:p>
    <w:p w14:paraId="0BF0E298">
      <w:pPr>
        <w:pStyle w:val="3"/>
        <w:ind w:left="640"/>
        <w:rPr>
          <w:rFonts w:hint="eastAsia"/>
        </w:rPr>
      </w:pPr>
      <w:bookmarkStart w:id="29" w:name="_Toc187608121"/>
      <w:r>
        <w:rPr>
          <w:rFonts w:hint="eastAsia"/>
        </w:rPr>
        <w:t>7.1机制共筑</w:t>
      </w:r>
      <w:bookmarkEnd w:id="29"/>
    </w:p>
    <w:p w14:paraId="333190E0">
      <w:pPr>
        <w:ind w:firstLine="640" w:firstLineChars="200"/>
        <w:rPr>
          <w:rFonts w:hint="eastAsia"/>
        </w:rPr>
      </w:pPr>
      <w:r>
        <w:rPr>
          <w:rFonts w:hint="eastAsia"/>
        </w:rPr>
        <w:t>临沂艺术学校通过绩效考核改革、教科研奖励政策制定等配套措施，推出一系列激励政策，强化产教融合、校企合作。扎实开展产教融合、校企合作，全力推动人才链、教育链、产业链和创新链有机衔接。</w:t>
      </w:r>
    </w:p>
    <w:p w14:paraId="0F8FA8EF">
      <w:pPr>
        <w:pStyle w:val="3"/>
        <w:ind w:left="640"/>
        <w:rPr>
          <w:rFonts w:hint="eastAsia"/>
        </w:rPr>
      </w:pPr>
      <w:bookmarkStart w:id="30" w:name="_Toc187608122"/>
      <w:r>
        <w:rPr>
          <w:rFonts w:hint="eastAsia"/>
        </w:rPr>
        <w:t>7.2资源共建</w:t>
      </w:r>
      <w:bookmarkEnd w:id="30"/>
    </w:p>
    <w:p w14:paraId="672E64BF">
      <w:pPr>
        <w:ind w:firstLine="640" w:firstLineChars="200"/>
        <w:rPr>
          <w:rFonts w:hint="eastAsia"/>
        </w:rPr>
      </w:pPr>
      <w:r>
        <w:rPr>
          <w:rFonts w:hint="eastAsia"/>
        </w:rPr>
        <w:t>2024</w:t>
      </w:r>
      <w:r>
        <w:rPr>
          <w:rFonts w:hint="eastAsia"/>
          <w:lang w:val="en-US" w:eastAsia="zh-CN"/>
        </w:rPr>
        <w:t>-2025学</w:t>
      </w:r>
      <w:r>
        <w:rPr>
          <w:rFonts w:hint="eastAsia"/>
        </w:rPr>
        <w:t>年，临沂艺术学校依托省域现代职业教育体系建设新模式，积极参与省域、市域产教联合体和行业产教融合共同体。</w:t>
      </w:r>
      <w:r>
        <w:rPr>
          <w:rFonts w:hint="eastAsia"/>
          <w:lang w:eastAsia="zh-CN"/>
        </w:rPr>
        <w:t>建成校中厂</w:t>
      </w:r>
      <w:r>
        <w:rPr>
          <w:rFonts w:hint="eastAsia"/>
          <w:lang w:val="en-US" w:eastAsia="zh-CN"/>
        </w:rPr>
        <w:t>2所，厂中校2所。新建4个校企合作产教融合实训基地，分别是：</w:t>
      </w:r>
      <w:r>
        <w:rPr>
          <w:rFonts w:hint="eastAsia"/>
        </w:rPr>
        <w:t>临沂艺术学校表演类专业群产教融合实践中心</w:t>
      </w:r>
      <w:r>
        <w:rPr>
          <w:rFonts w:hint="eastAsia"/>
          <w:lang w:eastAsia="zh-CN"/>
        </w:rPr>
        <w:t>、</w:t>
      </w:r>
      <w:r>
        <w:rPr>
          <w:rFonts w:hint="eastAsia"/>
        </w:rPr>
        <w:t>传拓工作室</w:t>
      </w:r>
      <w:r>
        <w:rPr>
          <w:rFonts w:hint="eastAsia"/>
          <w:lang w:eastAsia="zh-CN"/>
        </w:rPr>
        <w:t>、</w:t>
      </w:r>
      <w:r>
        <w:rPr>
          <w:rFonts w:hint="eastAsia"/>
        </w:rPr>
        <w:t>临沂艺术学校与观唐温泉产教融合实训基地山东（国际）度假村</w:t>
      </w:r>
      <w:r>
        <w:rPr>
          <w:rFonts w:hint="eastAsia"/>
          <w:lang w:eastAsia="zh-CN"/>
        </w:rPr>
        <w:t>、</w:t>
      </w:r>
      <w:r>
        <w:rPr>
          <w:rFonts w:hint="eastAsia"/>
        </w:rPr>
        <w:t>临沂艺术学校与智顺科技产教融合实训基地。</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30"/>
      </w:tblGrid>
      <w:tr w14:paraId="2BD76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30" w:type="dxa"/>
            <w:vAlign w:val="center"/>
          </w:tcPr>
          <w:p w14:paraId="50D238BC">
            <w:pPr>
              <w:tabs>
                <w:tab w:val="left" w:pos="1125"/>
              </w:tabs>
              <w:spacing w:line="240" w:lineRule="auto"/>
              <w:jc w:val="center"/>
              <w:rPr>
                <w:rFonts w:hint="eastAsia"/>
              </w:rPr>
            </w:pPr>
            <w:r>
              <w:rPr>
                <w:rFonts w:hint="eastAsia"/>
              </w:rPr>
              <w:drawing>
                <wp:inline distT="0" distB="0" distL="0" distR="0">
                  <wp:extent cx="5471795" cy="3162935"/>
                  <wp:effectExtent l="0" t="0" r="14605" b="18415"/>
                  <wp:docPr id="612987365" name="图片 612987365" descr="C:/Users/hp/Desktop/7-1.jpg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87365" name="图片 612987365" descr="C:/Users/hp/Desktop/7-1.jpg7-1"/>
                          <pic:cNvPicPr>
                            <a:picLocks noChangeAspect="1"/>
                          </pic:cNvPicPr>
                        </pic:nvPicPr>
                        <pic:blipFill>
                          <a:blip r:embed="rId25"/>
                          <a:srcRect t="11466" b="11466"/>
                          <a:stretch>
                            <a:fillRect/>
                          </a:stretch>
                        </pic:blipFill>
                        <pic:spPr>
                          <a:xfrm>
                            <a:off x="0" y="0"/>
                            <a:ext cx="5471795" cy="3163082"/>
                          </a:xfrm>
                          <a:prstGeom prst="rect">
                            <a:avLst/>
                          </a:prstGeom>
                          <a:ln>
                            <a:noFill/>
                          </a:ln>
                        </pic:spPr>
                      </pic:pic>
                    </a:graphicData>
                  </a:graphic>
                </wp:inline>
              </w:drawing>
            </w:r>
          </w:p>
        </w:tc>
      </w:tr>
      <w:tr w14:paraId="07D2E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730" w:type="dxa"/>
            <w:vAlign w:val="center"/>
          </w:tcPr>
          <w:p w14:paraId="02120192">
            <w:pPr>
              <w:tabs>
                <w:tab w:val="left" w:pos="1125"/>
              </w:tabs>
              <w:spacing w:line="240" w:lineRule="auto"/>
              <w:jc w:val="center"/>
              <w:rPr>
                <w:rFonts w:hint="eastAsia"/>
                <w:b/>
                <w:bCs/>
              </w:rPr>
            </w:pPr>
            <w:r>
              <w:rPr>
                <w:rFonts w:hint="eastAsia"/>
                <w:b/>
                <w:bCs/>
                <w:sz w:val="24"/>
                <w:szCs w:val="21"/>
                <w:highlight w:val="none"/>
              </w:rPr>
              <w:t>图7-1</w:t>
            </w:r>
            <w:r>
              <w:rPr>
                <w:b/>
                <w:bCs/>
                <w:sz w:val="24"/>
                <w:szCs w:val="21"/>
                <w:highlight w:val="none"/>
              </w:rPr>
              <w:t xml:space="preserve">  </w:t>
            </w:r>
            <w:r>
              <w:rPr>
                <w:rFonts w:hint="eastAsia"/>
                <w:b/>
                <w:bCs/>
                <w:sz w:val="24"/>
                <w:szCs w:val="21"/>
                <w:highlight w:val="none"/>
              </w:rPr>
              <w:t>临沂艺术学校产教融合实训基地揭牌仪式在天泽木文化博物馆举行</w:t>
            </w:r>
          </w:p>
        </w:tc>
      </w:tr>
    </w:tbl>
    <w:p w14:paraId="40C4DAEF">
      <w:pPr>
        <w:pStyle w:val="3"/>
        <w:ind w:left="640"/>
        <w:rPr>
          <w:rFonts w:hint="eastAsia"/>
        </w:rPr>
      </w:pPr>
      <w:bookmarkStart w:id="31" w:name="_Toc187608123"/>
      <w:r>
        <w:rPr>
          <w:rFonts w:hint="eastAsia"/>
        </w:rPr>
        <w:t>7.3人才共育</w:t>
      </w:r>
      <w:bookmarkEnd w:id="31"/>
    </w:p>
    <w:p w14:paraId="5B0FC7AC">
      <w:pPr>
        <w:ind w:firstLine="640" w:firstLineChars="200"/>
        <w:rPr>
          <w:rFonts w:hint="eastAsia"/>
        </w:rPr>
      </w:pPr>
      <w:r>
        <w:rPr>
          <w:rFonts w:hint="eastAsia"/>
        </w:rPr>
        <w:t>学校重视人才培养质量，坚持“以赛促教”，联合合作企事业单位，共同提升学生技能水平。2024</w:t>
      </w:r>
      <w:r>
        <w:rPr>
          <w:rFonts w:hint="eastAsia"/>
          <w:lang w:val="en-US" w:eastAsia="zh-CN"/>
        </w:rPr>
        <w:t>-2025学</w:t>
      </w:r>
      <w:r>
        <w:rPr>
          <w:rFonts w:hint="eastAsia"/>
        </w:rPr>
        <w:t>年，学校承办临沂市职业院校技能大赛2项，在办赛过程中，积极协调校企合作企业，圆满完成赛事。为提高学生参赛成绩，学校特邀行业企业技能大师对参赛选手进行指导，在职业院校技能大赛市赛中获得一等奖3个，二等奖1个，三等奖3个；在山东省职业院校技能大赛中，获得一等奖2个。</w:t>
      </w:r>
    </w:p>
    <w:p w14:paraId="076BFFA2">
      <w:pPr>
        <w:pStyle w:val="3"/>
        <w:ind w:left="640"/>
        <w:rPr>
          <w:rFonts w:hint="eastAsia"/>
        </w:rPr>
      </w:pPr>
      <w:bookmarkStart w:id="32" w:name="_Toc187608124"/>
      <w:r>
        <w:rPr>
          <w:rFonts w:hint="eastAsia"/>
        </w:rPr>
        <w:t>7.4双师共培</w:t>
      </w:r>
      <w:bookmarkEnd w:id="32"/>
    </w:p>
    <w:p w14:paraId="553A9DC7">
      <w:pPr>
        <w:ind w:firstLine="640" w:firstLineChars="200"/>
        <w:rPr>
          <w:rFonts w:hint="eastAsia"/>
        </w:rPr>
      </w:pPr>
      <w:r>
        <w:rPr>
          <w:rFonts w:hint="eastAsia"/>
        </w:rPr>
        <w:t>学校全面落实《关于深化现代职业教育体系建设实施意见》，加强“双师型”教师队伍建设，建立校企人员双向流动机制，教师定期到企业实践，深入了解产业前沿最新动态和企业对人才知识结构、岗位能力的具体要求，组织专业教师参加职业资格证书、1+X职业技能等级证书试点培训。202</w:t>
      </w:r>
      <w:r>
        <w:rPr>
          <w:rFonts w:hint="eastAsia"/>
          <w:lang w:val="en-US" w:eastAsia="zh-CN"/>
        </w:rPr>
        <w:t>5</w:t>
      </w:r>
      <w:r>
        <w:rPr>
          <w:rFonts w:hint="eastAsia"/>
        </w:rPr>
        <w:t>年学校通过省级认定“双师型”教师</w:t>
      </w:r>
      <w:r>
        <w:rPr>
          <w:rFonts w:hint="eastAsia"/>
          <w:lang w:val="en-US" w:eastAsia="zh-CN"/>
        </w:rPr>
        <w:t>3</w:t>
      </w:r>
      <w:r>
        <w:rPr>
          <w:rFonts w:hint="eastAsia"/>
        </w:rPr>
        <w:t>人。同时，聘请企业导师到校担任兼职教师或实训指导教师，参与专业技能课的授课与实训指导，有效提升专业技能课程教学质量。</w:t>
      </w:r>
    </w:p>
    <w:p w14:paraId="44C3B069">
      <w:pPr>
        <w:rPr>
          <w:rFonts w:hint="eastAsia" w:ascii="黑体" w:hAnsi="黑体" w:eastAsia="黑体"/>
          <w:b/>
          <w:bCs/>
          <w:highlight w:val="none"/>
        </w:rPr>
      </w:pPr>
      <w:r>
        <w:rPr>
          <w:rFonts w:hint="eastAsia" w:ascii="黑体" w:hAnsi="黑体" w:eastAsia="黑体"/>
          <w:b/>
          <w:bCs/>
          <w:highlight w:val="none"/>
        </w:rPr>
        <w:t>【案例7-1】到卞成飞非物质文化遗产手绣展馆参观交流</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30"/>
      </w:tblGrid>
      <w:tr w14:paraId="26C09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730" w:type="dxa"/>
            <w:vAlign w:val="center"/>
          </w:tcPr>
          <w:p w14:paraId="7B41CF74">
            <w:pPr>
              <w:tabs>
                <w:tab w:val="left" w:pos="1125"/>
              </w:tabs>
              <w:spacing w:line="240" w:lineRule="auto"/>
              <w:ind w:firstLine="640" w:firstLineChars="200"/>
              <w:jc w:val="both"/>
              <w:rPr>
                <w:rFonts w:hint="eastAsia"/>
                <w:highlight w:val="none"/>
              </w:rPr>
            </w:pPr>
            <w:r>
              <w:rPr>
                <w:rFonts w:hint="eastAsia"/>
                <w:highlight w:val="none"/>
              </w:rPr>
              <w:t>为促进产教融合，弘扬传统手工艺文化，领略民间艺术魅力，3月18日，在孙静校长、杨继中副校长带领下，幼儿保育部教师走进卞成飞手工艺品工作室，开启了一场充满惊喜与感动的传统工艺之旅。</w:t>
            </w:r>
            <w:r>
              <w:rPr>
                <w:rFonts w:hint="eastAsia"/>
                <w:highlight w:val="none"/>
                <w:lang w:eastAsia="zh-CN"/>
              </w:rPr>
              <w:t>学校</w:t>
            </w:r>
            <w:r>
              <w:rPr>
                <w:rFonts w:hint="eastAsia"/>
                <w:highlight w:val="none"/>
              </w:rPr>
              <w:t>将以此次活动为契机，进一步加强产教融合，让学生能获得更多实习和就业机会，积累实践经验，提高就业竞争力；从社会角度，产教融合促进教育链、人才链与产业链、创新链有机衔接，推动产业升级和经济高质量发展。让更多的学生了解和喜爱传统手工艺。”</w:t>
            </w:r>
          </w:p>
        </w:tc>
      </w:tr>
      <w:tr w14:paraId="5273A2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30" w:type="dxa"/>
            <w:vAlign w:val="center"/>
          </w:tcPr>
          <w:p w14:paraId="619582EE">
            <w:pPr>
              <w:tabs>
                <w:tab w:val="left" w:pos="1125"/>
              </w:tabs>
              <w:spacing w:line="240" w:lineRule="auto"/>
              <w:jc w:val="both"/>
              <w:rPr>
                <w:rFonts w:hint="eastAsia"/>
                <w:highlight w:val="yellow"/>
              </w:rPr>
            </w:pPr>
            <w:r>
              <w:rPr>
                <w:rFonts w:hint="eastAsia"/>
              </w:rPr>
              <w:drawing>
                <wp:inline distT="0" distB="0" distL="0" distR="0">
                  <wp:extent cx="5471795" cy="3649345"/>
                  <wp:effectExtent l="0" t="0" r="14605" b="8255"/>
                  <wp:docPr id="379457356" name="图片 379457356" descr="C:/Users/hp/Desktop/7-2.jpg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57356" name="图片 379457356" descr="C:/Users/hp/Desktop/7-2.jpg7-2"/>
                          <pic:cNvPicPr>
                            <a:picLocks noChangeAspect="1"/>
                          </pic:cNvPicPr>
                        </pic:nvPicPr>
                        <pic:blipFill>
                          <a:blip r:embed="rId26"/>
                          <a:srcRect t="5541" b="5541"/>
                          <a:stretch>
                            <a:fillRect/>
                          </a:stretch>
                        </pic:blipFill>
                        <pic:spPr>
                          <a:xfrm>
                            <a:off x="0" y="0"/>
                            <a:ext cx="5471795" cy="3649824"/>
                          </a:xfrm>
                          <a:prstGeom prst="rect">
                            <a:avLst/>
                          </a:prstGeom>
                          <a:ln>
                            <a:noFill/>
                          </a:ln>
                        </pic:spPr>
                      </pic:pic>
                    </a:graphicData>
                  </a:graphic>
                </wp:inline>
              </w:drawing>
            </w:r>
          </w:p>
        </w:tc>
      </w:tr>
      <w:tr w14:paraId="2D840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730" w:type="dxa"/>
            <w:vAlign w:val="center"/>
          </w:tcPr>
          <w:p w14:paraId="45A6DD49">
            <w:pPr>
              <w:tabs>
                <w:tab w:val="left" w:pos="1125"/>
              </w:tabs>
              <w:spacing w:line="240" w:lineRule="auto"/>
              <w:jc w:val="center"/>
              <w:rPr>
                <w:rFonts w:hint="eastAsia" w:eastAsia="仿宋_GB2312"/>
                <w:b/>
                <w:bCs/>
                <w:lang w:eastAsia="zh-CN"/>
              </w:rPr>
            </w:pPr>
            <w:r>
              <w:rPr>
                <w:rFonts w:hint="eastAsia"/>
                <w:b/>
                <w:bCs/>
                <w:sz w:val="24"/>
                <w:szCs w:val="21"/>
                <w:highlight w:val="none"/>
              </w:rPr>
              <w:t>图7-2</w:t>
            </w:r>
            <w:r>
              <w:rPr>
                <w:b/>
                <w:bCs/>
                <w:sz w:val="24"/>
                <w:szCs w:val="21"/>
                <w:highlight w:val="none"/>
              </w:rPr>
              <w:t xml:space="preserve">  </w:t>
            </w:r>
            <w:r>
              <w:rPr>
                <w:rFonts w:hint="eastAsia"/>
                <w:b/>
                <w:bCs/>
                <w:sz w:val="24"/>
                <w:szCs w:val="21"/>
                <w:highlight w:val="none"/>
              </w:rPr>
              <w:t>临沂艺术学校</w:t>
            </w:r>
            <w:r>
              <w:rPr>
                <w:rFonts w:hint="eastAsia"/>
                <w:b/>
                <w:bCs/>
                <w:sz w:val="24"/>
                <w:szCs w:val="21"/>
                <w:highlight w:val="none"/>
                <w:lang w:eastAsia="zh-CN"/>
              </w:rPr>
              <w:t>教师聆听卞成飞老师讲解</w:t>
            </w:r>
          </w:p>
        </w:tc>
      </w:tr>
    </w:tbl>
    <w:p w14:paraId="3CF078BA">
      <w:pPr>
        <w:rPr>
          <w:rFonts w:hint="eastAsia" w:ascii="黑体" w:hAnsi="黑体" w:eastAsia="黑体"/>
          <w:b/>
          <w:bCs/>
          <w:highlight w:val="yellow"/>
        </w:rPr>
      </w:pPr>
      <w:r>
        <w:rPr>
          <w:rFonts w:hint="eastAsia" w:ascii="黑体" w:hAnsi="黑体" w:eastAsia="黑体"/>
          <w:b/>
          <w:bCs/>
        </w:rPr>
        <w:t>【案例7-2】举办临沂市文旅行业校企合作对话会</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30"/>
      </w:tblGrid>
      <w:tr w14:paraId="39CCC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30" w:type="dxa"/>
            <w:vAlign w:val="center"/>
          </w:tcPr>
          <w:p w14:paraId="5B1212B9">
            <w:pPr>
              <w:tabs>
                <w:tab w:val="left" w:pos="1125"/>
              </w:tabs>
              <w:spacing w:line="240" w:lineRule="auto"/>
              <w:ind w:firstLine="640" w:firstLineChars="200"/>
              <w:jc w:val="both"/>
              <w:rPr>
                <w:rFonts w:hint="eastAsia"/>
              </w:rPr>
            </w:pPr>
            <w:r>
              <w:rPr>
                <w:rFonts w:hint="eastAsia"/>
              </w:rPr>
              <w:t>6月30日上午，临沂市文旅行业（演艺、文创）校企合作对话会在临沂艺术学校成功举行。会议汇聚全市8所职业院校、20余家重点文旅企业代表，通过需求对接、成果展示与签约合作，共谋产教融合新路径，为临沂文旅产业高质量发展注入人才动能。临沂艺术学校与临沂红色沂蒙文化演艺有限公司现场签订了校企合作协议，标志着双方在人才培养、课程开发、实习实训等方面将展开更加紧密的合作。此次校企合作对话会的成功举办，不仅为临沂市文旅行业与职业院校搭建了一个交流合作的重要平台，也为推动产教融合、校企合作注入了新的动力。</w:t>
            </w:r>
          </w:p>
        </w:tc>
      </w:tr>
      <w:tr w14:paraId="02948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30" w:type="dxa"/>
            <w:vAlign w:val="center"/>
          </w:tcPr>
          <w:p w14:paraId="228461A6">
            <w:pPr>
              <w:tabs>
                <w:tab w:val="left" w:pos="1125"/>
              </w:tabs>
              <w:spacing w:line="240" w:lineRule="auto"/>
              <w:jc w:val="both"/>
              <w:rPr>
                <w:rFonts w:hint="eastAsia"/>
              </w:rPr>
            </w:pPr>
            <w:r>
              <w:rPr>
                <w:rFonts w:hint="eastAsia"/>
              </w:rPr>
              <w:drawing>
                <wp:inline distT="0" distB="0" distL="0" distR="0">
                  <wp:extent cx="5471795" cy="4118610"/>
                  <wp:effectExtent l="0" t="0" r="14605" b="15240"/>
                  <wp:docPr id="13" name="图片 13" descr="C:/Users/hp/Desktop/4-1.jpg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hp/Desktop/4-1.jpg4-1"/>
                          <pic:cNvPicPr>
                            <a:picLocks noChangeAspect="1"/>
                          </pic:cNvPicPr>
                        </pic:nvPicPr>
                        <pic:blipFill>
                          <a:blip r:embed="rId27"/>
                          <a:srcRect l="31" r="31"/>
                          <a:stretch>
                            <a:fillRect/>
                          </a:stretch>
                        </pic:blipFill>
                        <pic:spPr>
                          <a:xfrm>
                            <a:off x="0" y="0"/>
                            <a:ext cx="5472000" cy="4118610"/>
                          </a:xfrm>
                          <a:prstGeom prst="rect">
                            <a:avLst/>
                          </a:prstGeom>
                          <a:ln>
                            <a:noFill/>
                          </a:ln>
                        </pic:spPr>
                      </pic:pic>
                    </a:graphicData>
                  </a:graphic>
                </wp:inline>
              </w:drawing>
            </w:r>
          </w:p>
        </w:tc>
      </w:tr>
      <w:tr w14:paraId="6C4CD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730" w:type="dxa"/>
            <w:vAlign w:val="center"/>
          </w:tcPr>
          <w:p w14:paraId="3A279626">
            <w:pPr>
              <w:tabs>
                <w:tab w:val="left" w:pos="1125"/>
              </w:tabs>
              <w:spacing w:line="240" w:lineRule="auto"/>
              <w:jc w:val="center"/>
              <w:rPr>
                <w:rFonts w:hint="eastAsia" w:eastAsia="仿宋_GB2312"/>
                <w:b/>
                <w:bCs/>
                <w:lang w:eastAsia="zh-CN"/>
              </w:rPr>
            </w:pPr>
            <w:r>
              <w:rPr>
                <w:rFonts w:hint="eastAsia"/>
                <w:b/>
                <w:bCs/>
                <w:sz w:val="24"/>
                <w:szCs w:val="21"/>
              </w:rPr>
              <w:t>图</w:t>
            </w:r>
            <w:r>
              <w:rPr>
                <w:rFonts w:hint="eastAsia"/>
                <w:b/>
                <w:bCs/>
                <w:sz w:val="24"/>
                <w:szCs w:val="21"/>
                <w:lang w:val="en-US" w:eastAsia="zh-CN"/>
              </w:rPr>
              <w:t>7-3</w:t>
            </w:r>
            <w:r>
              <w:rPr>
                <w:b/>
                <w:bCs/>
                <w:sz w:val="24"/>
                <w:szCs w:val="21"/>
              </w:rPr>
              <w:t xml:space="preserve">  </w:t>
            </w:r>
            <w:r>
              <w:rPr>
                <w:rFonts w:hint="eastAsia"/>
                <w:b/>
                <w:bCs/>
                <w:sz w:val="24"/>
                <w:szCs w:val="21"/>
              </w:rPr>
              <w:t>临沂市文旅行业校企合作对话会</w:t>
            </w:r>
            <w:r>
              <w:rPr>
                <w:rFonts w:hint="eastAsia"/>
                <w:b/>
                <w:bCs/>
                <w:sz w:val="24"/>
                <w:szCs w:val="21"/>
                <w:lang w:eastAsia="zh-CN"/>
              </w:rPr>
              <w:t>现场</w:t>
            </w:r>
          </w:p>
        </w:tc>
      </w:tr>
    </w:tbl>
    <w:p w14:paraId="27F058C2">
      <w:pPr>
        <w:rPr>
          <w:rFonts w:hint="eastAsia"/>
        </w:rPr>
      </w:pPr>
    </w:p>
    <w:p w14:paraId="3FD8A23C">
      <w:pPr>
        <w:widowControl/>
        <w:spacing w:line="240" w:lineRule="auto"/>
        <w:jc w:val="left"/>
        <w:rPr>
          <w:rFonts w:hint="eastAsia"/>
        </w:rPr>
      </w:pPr>
      <w:r>
        <w:rPr>
          <w:rFonts w:hint="eastAsia"/>
        </w:rPr>
        <w:br w:type="page"/>
      </w:r>
    </w:p>
    <w:p w14:paraId="74D4BBAC">
      <w:pPr>
        <w:pStyle w:val="2"/>
        <w:ind w:left="640"/>
        <w:rPr>
          <w:rFonts w:hint="eastAsia"/>
        </w:rPr>
      </w:pPr>
      <w:bookmarkStart w:id="33" w:name="_Toc187608125"/>
      <w:r>
        <w:rPr>
          <w:rFonts w:hint="eastAsia"/>
        </w:rPr>
        <w:t>8.发展保障</w:t>
      </w:r>
      <w:bookmarkEnd w:id="33"/>
    </w:p>
    <w:p w14:paraId="2030BA8F">
      <w:pPr>
        <w:pStyle w:val="3"/>
        <w:ind w:left="640"/>
        <w:rPr>
          <w:rFonts w:hint="eastAsia"/>
        </w:rPr>
      </w:pPr>
      <w:bookmarkStart w:id="34" w:name="_Toc187608126"/>
      <w:r>
        <w:rPr>
          <w:rFonts w:hint="eastAsia"/>
        </w:rPr>
        <w:t>8.1党建引领</w:t>
      </w:r>
      <w:bookmarkEnd w:id="34"/>
    </w:p>
    <w:p w14:paraId="0A2EB634">
      <w:pPr>
        <w:tabs>
          <w:tab w:val="left" w:pos="1125"/>
        </w:tabs>
        <w:ind w:firstLine="640" w:firstLineChars="200"/>
        <w:rPr>
          <w:rFonts w:hint="eastAsia"/>
        </w:rPr>
      </w:pPr>
      <w:r>
        <w:rPr>
          <w:rFonts w:hint="eastAsia"/>
        </w:rPr>
        <w:t>学校始终坚持以习近平新时代中国特色社会主义思想为指导，牢牢把握党对教育工作的全面领导，将党建工作与艺术教育教学深度融合，构建“党建+育人”“党建+教学”“党建+实践”三位一体工作体系，以党建红引领艺术美，为教学质量提升注入强劲红色动能，推动立德树人根本任务落地见效。</w:t>
      </w:r>
    </w:p>
    <w:p w14:paraId="308CD5FB">
      <w:pPr>
        <w:tabs>
          <w:tab w:val="left" w:pos="1125"/>
        </w:tabs>
        <w:ind w:firstLine="640" w:firstLineChars="200"/>
        <w:rPr>
          <w:rFonts w:hint="eastAsia"/>
        </w:rPr>
      </w:pPr>
      <w:r>
        <w:rPr>
          <w:rFonts w:hint="eastAsia"/>
          <w:lang w:eastAsia="zh-CN"/>
        </w:rPr>
        <w:t>第一，</w:t>
      </w:r>
      <w:r>
        <w:rPr>
          <w:rFonts w:hint="eastAsia"/>
        </w:rPr>
        <w:t>强化思想铸魂，把牢教学政治方向</w:t>
      </w:r>
      <w:r>
        <w:rPr>
          <w:rFonts w:hint="eastAsia"/>
          <w:lang w:eastAsia="zh-CN"/>
        </w:rPr>
        <w:t>。</w:t>
      </w:r>
      <w:r>
        <w:rPr>
          <w:rFonts w:hint="eastAsia"/>
        </w:rPr>
        <w:t>坚持把政治建设摆在教学工作首位，建立“党委理论学习中心组领学、党支部研学、党员教师带头学”三级学习机制，全年开展习近平总书记关于教育、文艺工作的重要论述专题学习6次，引导全体教师深刻把握“为党育人、为国育才”的核心要义。将思政教育融入教师培训全过程，推动党的教育方针转化为具体教学实践。立足临沂沂蒙革命老区红色资源优势，打造“红色艺术育人”特色品牌。</w:t>
      </w:r>
    </w:p>
    <w:p w14:paraId="6161C4C5">
      <w:pPr>
        <w:tabs>
          <w:tab w:val="left" w:pos="1125"/>
        </w:tabs>
        <w:ind w:firstLine="640" w:firstLineChars="200"/>
        <w:rPr>
          <w:rFonts w:hint="eastAsia"/>
        </w:rPr>
      </w:pPr>
      <w:r>
        <w:rPr>
          <w:rFonts w:hint="eastAsia"/>
          <w:lang w:eastAsia="zh-CN"/>
        </w:rPr>
        <w:t>第二，</w:t>
      </w:r>
      <w:r>
        <w:rPr>
          <w:rFonts w:hint="eastAsia"/>
        </w:rPr>
        <w:t>推动党建与教学深度融合，提升育人质量</w:t>
      </w:r>
      <w:r>
        <w:rPr>
          <w:rFonts w:hint="eastAsia"/>
          <w:lang w:eastAsia="zh-CN"/>
        </w:rPr>
        <w:t>。</w:t>
      </w:r>
      <w:r>
        <w:rPr>
          <w:rFonts w:hint="eastAsia"/>
        </w:rPr>
        <w:t>实施“党员名师领航工程”，设立“党员先锋岗”“红色艺术工作室”，12名党员骨干教师牵头组建教学创新团队，聚焦舞蹈、美术、音乐等核心专业，开展教学改革、课程研发、技能攻关等工作。创新“三阶递进”课程体系，将思想政治教育、艺术素养培养、专业技能训练有机融合。建立党组织参与教学质量管控机制，党支部牵头开展教学督导、听课评课、课程审核等工作，重点检查课程思政融入情况、教学规范执行情况，发现并整改教学问题18项。严格教材选用、教学内容审核流程，确保教学内容符合党的教育方针和艺术教育规律，坚决杜绝不良思想文化渗透。</w:t>
      </w:r>
    </w:p>
    <w:p w14:paraId="0736696F">
      <w:pPr>
        <w:tabs>
          <w:tab w:val="left" w:pos="1125"/>
        </w:tabs>
        <w:ind w:firstLine="640" w:firstLineChars="200"/>
        <w:rPr>
          <w:rFonts w:hint="eastAsia"/>
        </w:rPr>
      </w:pPr>
      <w:r>
        <w:rPr>
          <w:rFonts w:hint="eastAsia"/>
          <w:lang w:eastAsia="zh-CN"/>
        </w:rPr>
        <w:t>第三，</w:t>
      </w:r>
      <w:r>
        <w:rPr>
          <w:rFonts w:hint="eastAsia"/>
        </w:rPr>
        <w:t>建强党员教师队伍，夯实教学骨干力量</w:t>
      </w:r>
      <w:r>
        <w:rPr>
          <w:rFonts w:hint="eastAsia"/>
          <w:lang w:eastAsia="zh-CN"/>
        </w:rPr>
        <w:t>。</w:t>
      </w:r>
      <w:r>
        <w:rPr>
          <w:rFonts w:hint="eastAsia"/>
        </w:rPr>
        <w:t>实施“双培工程”，把优秀青年教师培养成党员、把党员教师培养成教学骨干和学科带头人，2025年发展教师入党积极分子8名，4名党员教师成长为校级学科带头人。建立“党员导师带徒”机制，4名党员骨干教师与8名青年教师结对帮扶，通过备课指导、示范课展示、教学研讨等方式，提升青年教师教学能力。以党建引领师德师风建设，开展“廉洁从教、潜心育人”主题教育活动，严格执行师德师风“一票否决制”，将师德表现纳入教师考核评价核心指标，与职称评聘、评优评先直接挂钩，营造风清气正的教学育人环境。</w:t>
      </w:r>
    </w:p>
    <w:p w14:paraId="53D23CC1">
      <w:pPr>
        <w:tabs>
          <w:tab w:val="left" w:pos="1125"/>
        </w:tabs>
        <w:ind w:firstLine="640" w:firstLineChars="200"/>
        <w:rPr>
          <w:rFonts w:hint="eastAsia"/>
        </w:rPr>
      </w:pPr>
      <w:r>
        <w:rPr>
          <w:rFonts w:hint="eastAsia"/>
          <w:lang w:eastAsia="zh-CN"/>
        </w:rPr>
        <w:t>第四，</w:t>
      </w:r>
      <w:r>
        <w:rPr>
          <w:rFonts w:hint="eastAsia"/>
        </w:rPr>
        <w:t>党建引领实践育人，拓展教学成效维度</w:t>
      </w:r>
      <w:r>
        <w:rPr>
          <w:rFonts w:hint="eastAsia"/>
          <w:lang w:eastAsia="zh-CN"/>
        </w:rPr>
        <w:t>。</w:t>
      </w:r>
      <w:r>
        <w:rPr>
          <w:rFonts w:hint="eastAsia"/>
        </w:rPr>
        <w:t>整合校地资源，建立沂蒙红色美育实践基地、乡村艺术教育实践基地，组织党员教师带领学生开展“青春筑梦——行走的思政课”实践活动。发挥党组织桥梁纽带作用，与地方文化部门、艺术团体、企业建立党建共建关系，合作开展订单培养、项目创作、师资互聘等工作。邀请行业专家、非遗传承人担任兼职教师，将行业前沿技术、艺术创作实践融入教学过程，学生专业实践能力显著提升。</w:t>
      </w:r>
    </w:p>
    <w:p w14:paraId="7FC0BE5E">
      <w:pPr>
        <w:tabs>
          <w:tab w:val="left" w:pos="1125"/>
        </w:tabs>
        <w:ind w:firstLine="640" w:firstLineChars="200"/>
        <w:rPr>
          <w:rFonts w:hint="eastAsia"/>
        </w:rPr>
      </w:pPr>
      <w:r>
        <w:rPr>
          <w:rFonts w:hint="eastAsia"/>
          <w:lang w:eastAsia="zh-CN"/>
        </w:rPr>
        <w:t>第五，</w:t>
      </w:r>
      <w:r>
        <w:rPr>
          <w:rFonts w:hint="eastAsia"/>
        </w:rPr>
        <w:t>党建引领教学质量提升成效</w:t>
      </w:r>
      <w:r>
        <w:rPr>
          <w:rFonts w:hint="eastAsia"/>
          <w:lang w:eastAsia="zh-CN"/>
        </w:rPr>
        <w:t>。</w:t>
      </w:r>
      <w:r>
        <w:rPr>
          <w:rFonts w:hint="eastAsia"/>
        </w:rPr>
        <w:t>通过党建与教学深度融合，学校教学质量持续攀升，育人成效显著。2025年，学校毕业生就业率</w:t>
      </w:r>
      <w:r>
        <w:rPr>
          <w:rFonts w:hint="eastAsia"/>
          <w:lang w:eastAsia="zh-CN"/>
        </w:rPr>
        <w:t>达</w:t>
      </w:r>
      <w:r>
        <w:rPr>
          <w:rFonts w:hint="eastAsia"/>
          <w:lang w:val="en-US" w:eastAsia="zh-CN"/>
        </w:rPr>
        <w:t>99.8</w:t>
      </w:r>
      <w:r>
        <w:rPr>
          <w:rFonts w:hint="eastAsia"/>
        </w:rPr>
        <w:t>%；教师教学能力大赛获奖数量较上年增长28%</w:t>
      </w:r>
      <w:r>
        <w:rPr>
          <w:rFonts w:hint="eastAsia"/>
          <w:lang w:eastAsia="zh-CN"/>
        </w:rPr>
        <w:t>。</w:t>
      </w:r>
      <w:r>
        <w:rPr>
          <w:rFonts w:hint="eastAsia"/>
        </w:rPr>
        <w:t>党建引领下，学校形成了“红色铸魂、艺术赋能、德艺兼修”的育人特色，为培养高素质艺术人才奠定了坚实基础。</w:t>
      </w:r>
    </w:p>
    <w:p w14:paraId="5B82A537">
      <w:pPr>
        <w:pStyle w:val="3"/>
        <w:ind w:left="640"/>
        <w:rPr>
          <w:rFonts w:hint="eastAsia"/>
        </w:rPr>
      </w:pPr>
      <w:bookmarkStart w:id="35" w:name="_Toc187608127"/>
      <w:r>
        <w:rPr>
          <w:rFonts w:hint="eastAsia"/>
        </w:rPr>
        <w:t>8.2经费保障</w:t>
      </w:r>
      <w:bookmarkEnd w:id="35"/>
    </w:p>
    <w:p w14:paraId="3E09225F">
      <w:pPr>
        <w:ind w:firstLine="645"/>
        <w:rPr>
          <w:rFonts w:hint="eastAsia"/>
          <w:highlight w:val="none"/>
        </w:rPr>
      </w:pPr>
      <w:r>
        <w:rPr>
          <w:rFonts w:hint="eastAsia"/>
          <w:highlight w:val="none"/>
        </w:rPr>
        <w:t>202</w:t>
      </w:r>
      <w:r>
        <w:rPr>
          <w:rFonts w:hint="eastAsia"/>
          <w:highlight w:val="none"/>
          <w:lang w:val="en-US" w:eastAsia="zh-CN"/>
        </w:rPr>
        <w:t>5</w:t>
      </w:r>
      <w:r>
        <w:rPr>
          <w:rFonts w:hint="eastAsia"/>
          <w:highlight w:val="none"/>
        </w:rPr>
        <w:t>年，学校年生均财政拨款1</w:t>
      </w:r>
      <w:r>
        <w:rPr>
          <w:rFonts w:hint="eastAsia"/>
          <w:highlight w:val="none"/>
          <w:lang w:val="en-US" w:eastAsia="zh-CN"/>
        </w:rPr>
        <w:t>472</w:t>
      </w:r>
      <w:r>
        <w:rPr>
          <w:rFonts w:hint="eastAsia"/>
          <w:highlight w:val="none"/>
        </w:rPr>
        <w:t>.</w:t>
      </w:r>
      <w:r>
        <w:rPr>
          <w:rFonts w:hint="eastAsia"/>
          <w:highlight w:val="none"/>
          <w:lang w:val="en-US" w:eastAsia="zh-CN"/>
        </w:rPr>
        <w:t>83</w:t>
      </w:r>
      <w:r>
        <w:rPr>
          <w:rFonts w:hint="eastAsia"/>
          <w:highlight w:val="none"/>
        </w:rPr>
        <w:t>元/人，年财政专项经费</w:t>
      </w:r>
      <w:r>
        <w:rPr>
          <w:rFonts w:hint="eastAsia"/>
          <w:highlight w:val="none"/>
          <w:lang w:val="en-US" w:eastAsia="zh-CN"/>
        </w:rPr>
        <w:t>4643.86</w:t>
      </w:r>
      <w:r>
        <w:rPr>
          <w:rFonts w:hint="eastAsia"/>
          <w:highlight w:val="none"/>
        </w:rPr>
        <w:t>万元。严格落实市教育局拨付的职业院校技能大赛办赛经费与奖励奖金。其中，拨付经费</w:t>
      </w:r>
      <w:r>
        <w:rPr>
          <w:rFonts w:hint="eastAsia"/>
          <w:highlight w:val="none"/>
          <w:lang w:val="en-US" w:eastAsia="zh-CN"/>
        </w:rPr>
        <w:t>1574</w:t>
      </w:r>
      <w:r>
        <w:rPr>
          <w:rFonts w:hint="eastAsia"/>
          <w:highlight w:val="none"/>
        </w:rPr>
        <w:t>万元用于专业建设、课程建设、教师培养培训等。根据国家资助要求，临沂艺术学校免学费政策实行全日制在校生全覆盖，2024</w:t>
      </w:r>
      <w:r>
        <w:rPr>
          <w:rFonts w:hint="eastAsia"/>
          <w:highlight w:val="none"/>
          <w:lang w:val="en-US" w:eastAsia="zh-CN"/>
        </w:rPr>
        <w:t>-2025</w:t>
      </w:r>
      <w:r>
        <w:rPr>
          <w:rFonts w:hint="eastAsia"/>
          <w:highlight w:val="none"/>
        </w:rPr>
        <w:t>学年在校学生</w:t>
      </w:r>
      <w:r>
        <w:rPr>
          <w:highlight w:val="none"/>
        </w:rPr>
        <w:t>已全部享受免学费政策。</w:t>
      </w:r>
      <w:r>
        <w:rPr>
          <w:rFonts w:hint="eastAsia"/>
          <w:highlight w:val="none"/>
        </w:rPr>
        <w:t>根据山东省管理办法以及各项细则要求，临沂艺术学校认真审核了本年度助学金申请学生的家庭情况并对审核通过的学生进行了助学金发放，此外，设立校级助学金，扩大资助覆盖面。</w:t>
      </w:r>
    </w:p>
    <w:p w14:paraId="7F7865DB">
      <w:pPr>
        <w:pStyle w:val="3"/>
        <w:ind w:left="640"/>
        <w:rPr>
          <w:rFonts w:hint="eastAsia"/>
        </w:rPr>
      </w:pPr>
      <w:bookmarkStart w:id="36" w:name="_Toc187608128"/>
      <w:r>
        <w:rPr>
          <w:rFonts w:hint="eastAsia"/>
        </w:rPr>
        <w:t>8.3条件保障</w:t>
      </w:r>
      <w:bookmarkEnd w:id="36"/>
    </w:p>
    <w:p w14:paraId="56C10484">
      <w:pPr>
        <w:ind w:firstLine="640" w:firstLineChars="200"/>
        <w:rPr>
          <w:rFonts w:hint="eastAsia"/>
        </w:rPr>
      </w:pPr>
      <w:bookmarkStart w:id="37" w:name="_Toc187608129"/>
      <w:r>
        <w:rPr>
          <w:rFonts w:hint="eastAsia"/>
        </w:rPr>
        <w:t>202</w:t>
      </w:r>
      <w:r>
        <w:rPr>
          <w:rFonts w:hint="eastAsia"/>
          <w:lang w:val="en-US" w:eastAsia="zh-CN"/>
        </w:rPr>
        <w:t>5</w:t>
      </w:r>
      <w:r>
        <w:rPr>
          <w:rFonts w:hint="eastAsia"/>
        </w:rPr>
        <w:t>年，学校新校区</w:t>
      </w:r>
      <w:r>
        <w:rPr>
          <w:rFonts w:hint="eastAsia"/>
          <w:lang w:val="en-US" w:eastAsia="zh-CN"/>
        </w:rPr>
        <w:t>图书阅览室</w:t>
      </w:r>
      <w:r>
        <w:rPr>
          <w:rFonts w:hint="eastAsia"/>
        </w:rPr>
        <w:t>、</w:t>
      </w:r>
      <w:r>
        <w:rPr>
          <w:rFonts w:hint="eastAsia"/>
          <w:lang w:val="en-US" w:eastAsia="zh-CN"/>
        </w:rPr>
        <w:t>信息技术教室、录播室、11号宿舍楼</w:t>
      </w:r>
      <w:r>
        <w:rPr>
          <w:rFonts w:hint="eastAsia"/>
        </w:rPr>
        <w:t>等一批基础设施项目相继建成并投入使用，</w:t>
      </w:r>
      <w:r>
        <w:rPr>
          <w:rFonts w:hint="eastAsia"/>
          <w:lang w:val="en-US" w:eastAsia="zh-CN"/>
        </w:rPr>
        <w:t>校园景观标识、绿化美化等逐步推进，职工之家、直播实训基地等建设顺利进行，整体形象有了进一步提升</w:t>
      </w:r>
      <w:r>
        <w:rPr>
          <w:rFonts w:hint="eastAsia"/>
        </w:rPr>
        <w:t>，教育教学环境设施不断改善，加快推进</w:t>
      </w:r>
      <w:r>
        <w:rPr>
          <w:rFonts w:hint="eastAsia"/>
          <w:lang w:val="en-US" w:eastAsia="zh-CN"/>
        </w:rPr>
        <w:t>了</w:t>
      </w:r>
      <w:r>
        <w:rPr>
          <w:rFonts w:hint="eastAsia"/>
        </w:rPr>
        <w:t>办学条件达标工程。</w:t>
      </w:r>
    </w:p>
    <w:p w14:paraId="1CFB4CFF">
      <w:pPr>
        <w:pStyle w:val="3"/>
        <w:ind w:left="640"/>
        <w:rPr>
          <w:rFonts w:hint="eastAsia"/>
        </w:rPr>
      </w:pPr>
      <w:r>
        <w:rPr>
          <w:rFonts w:hint="eastAsia"/>
        </w:rPr>
        <w:t>8.4质量保障</w:t>
      </w:r>
      <w:bookmarkEnd w:id="37"/>
    </w:p>
    <w:p w14:paraId="5B769F38">
      <w:pPr>
        <w:ind w:firstLine="640" w:firstLineChars="200"/>
        <w:rPr>
          <w:rFonts w:hint="eastAsia"/>
          <w:lang w:val="en-US" w:eastAsia="zh-CN"/>
        </w:rPr>
      </w:pPr>
      <w:r>
        <w:rPr>
          <w:rFonts w:hint="eastAsia"/>
          <w:lang w:val="en-US" w:eastAsia="zh-CN"/>
        </w:rPr>
        <w:t>本年度，学校继续深化内部管理改革，建立健全教育教学质量保证体系。一是强化奖励激励，针对教科研成果进行专项奖励。二是加强教学常规管理，坚持教学秩序日常巡查制度，推行学生评教制度。三是强化学生管理，增加教官，开展学生日常行为习惯养成教育，推行日常行为“六不准四必须”管理制度。四是重视安全管理，坚持“安全第一、预防为主”方针，严格执行统一安全管理标准和岗位职责。</w:t>
      </w:r>
    </w:p>
    <w:p w14:paraId="0BB34A4D">
      <w:pPr>
        <w:pStyle w:val="3"/>
        <w:ind w:left="640"/>
        <w:rPr>
          <w:rFonts w:hint="eastAsia"/>
        </w:rPr>
      </w:pPr>
      <w:bookmarkStart w:id="38" w:name="_Toc187608130"/>
      <w:r>
        <w:rPr>
          <w:rFonts w:hint="eastAsia"/>
        </w:rPr>
        <w:t>8.5政策保障</w:t>
      </w:r>
      <w:bookmarkEnd w:id="38"/>
    </w:p>
    <w:p w14:paraId="4E8C9A05">
      <w:pPr>
        <w:ind w:firstLine="640" w:firstLineChars="200"/>
        <w:rPr>
          <w:rFonts w:hint="eastAsia"/>
        </w:rPr>
      </w:pPr>
      <w:r>
        <w:rPr>
          <w:rFonts w:hint="eastAsia"/>
          <w:lang w:val="en-US" w:eastAsia="zh-CN"/>
        </w:rPr>
        <w:t>一是研究制定《临沂艺术学校中长期发展规划》，在人才培养质量、特色专业建设、合作与发展、师资队伍建设、学校文化建设、治理能力提升、基础设施建设等七方面确立了发展思路。二是进一步修订了《临沂艺术学校制度汇编》，完善自行采购和招标有关工作了流程，财务管理进一步规范。</w:t>
      </w:r>
      <w:r>
        <w:rPr>
          <w:rFonts w:hint="eastAsia"/>
        </w:rPr>
        <w:br w:type="page"/>
      </w:r>
    </w:p>
    <w:p w14:paraId="02FD8943">
      <w:pPr>
        <w:pStyle w:val="2"/>
        <w:ind w:left="640"/>
        <w:rPr>
          <w:rFonts w:hint="eastAsia"/>
        </w:rPr>
      </w:pPr>
      <w:bookmarkStart w:id="39" w:name="_Toc187608131"/>
      <w:r>
        <w:rPr>
          <w:rFonts w:hint="eastAsia"/>
        </w:rPr>
        <w:t>9.面临挑战与展望</w:t>
      </w:r>
      <w:bookmarkEnd w:id="39"/>
    </w:p>
    <w:p w14:paraId="538781D7">
      <w:pPr>
        <w:pStyle w:val="3"/>
        <w:ind w:left="640"/>
        <w:rPr>
          <w:rFonts w:hint="eastAsia"/>
        </w:rPr>
      </w:pPr>
      <w:bookmarkStart w:id="40" w:name="_Toc187608132"/>
      <w:r>
        <w:rPr>
          <w:rFonts w:hint="eastAsia"/>
        </w:rPr>
        <w:t>9.1面临挑战</w:t>
      </w:r>
      <w:bookmarkEnd w:id="40"/>
    </w:p>
    <w:p w14:paraId="108CFF49">
      <w:pPr>
        <w:pStyle w:val="16"/>
        <w:widowControl/>
        <w:spacing w:line="360" w:lineRule="auto"/>
        <w:ind w:firstLine="640" w:firstLineChars="200"/>
        <w:rPr>
          <w:rFonts w:hint="eastAsia"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教职员工队伍尚需进一步优化。当前，学校在编教职工数仅12</w:t>
      </w:r>
      <w:r>
        <w:rPr>
          <w:rFonts w:hint="eastAsia" w:ascii="仿宋_GB2312" w:hAnsi="宋体" w:eastAsia="仿宋_GB2312" w:cs="仿宋_GB2312"/>
          <w:color w:val="000000"/>
          <w:kern w:val="0"/>
          <w:sz w:val="32"/>
          <w:szCs w:val="32"/>
          <w:lang w:val="en-US" w:eastAsia="zh-CN" w:bidi="ar"/>
        </w:rPr>
        <w:t>4</w:t>
      </w:r>
      <w:r>
        <w:rPr>
          <w:rFonts w:hint="eastAsia" w:ascii="仿宋_GB2312" w:hAnsi="宋体" w:eastAsia="仿宋_GB2312" w:cs="仿宋_GB2312"/>
          <w:color w:val="000000"/>
          <w:kern w:val="0"/>
          <w:sz w:val="32"/>
          <w:szCs w:val="32"/>
          <w:lang w:bidi="ar"/>
        </w:rPr>
        <w:t>，第三方公司劳务派遣教职工数90人，师生比例严重失衡，“双师型”教师所占比重较小，制约了学校的教育教学质量和人才培养前景。</w:t>
      </w:r>
    </w:p>
    <w:p w14:paraId="0C2A4666">
      <w:pPr>
        <w:ind w:firstLine="640" w:firstLineChars="200"/>
        <w:rPr>
          <w:rFonts w:hint="eastAsia"/>
        </w:rPr>
      </w:pPr>
      <w:r>
        <w:rPr>
          <w:rFonts w:hint="eastAsia"/>
        </w:rPr>
        <w:t>专业建设水平仍需进一步提升。学校在专业建设、整体课程开发方面能力较为薄弱，核心专业、优势专业特色不明显，缺少国家级示范专业点、山东省中等职业学校品牌专业、山东省中等职业教育特色化专业。</w:t>
      </w:r>
    </w:p>
    <w:p w14:paraId="4CDB7758">
      <w:pPr>
        <w:ind w:firstLine="640" w:firstLineChars="200"/>
        <w:rPr>
          <w:rFonts w:hint="eastAsia"/>
        </w:rPr>
      </w:pPr>
      <w:r>
        <w:rPr>
          <w:rFonts w:hint="eastAsia"/>
        </w:rPr>
        <w:t>多元育人机制亟待进一步加强。校企协同育人的体制不完善，缺少清晰的制度设计和可持续的实施推进策略，顶层设计与实施缺乏协同，行业企业和机构的作用未充分发挥出来。</w:t>
      </w:r>
    </w:p>
    <w:p w14:paraId="1A7E3EF7">
      <w:pPr>
        <w:pStyle w:val="3"/>
        <w:ind w:left="640"/>
        <w:rPr>
          <w:rFonts w:hint="eastAsia"/>
        </w:rPr>
      </w:pPr>
      <w:bookmarkStart w:id="41" w:name="_Toc187608133"/>
      <w:r>
        <w:rPr>
          <w:rFonts w:hint="eastAsia"/>
        </w:rPr>
        <w:t>9.2未来展望</w:t>
      </w:r>
      <w:bookmarkEnd w:id="41"/>
    </w:p>
    <w:p w14:paraId="784254F5">
      <w:pPr>
        <w:pStyle w:val="16"/>
        <w:widowControl/>
        <w:spacing w:line="360" w:lineRule="auto"/>
        <w:ind w:firstLine="640" w:firstLineChars="200"/>
        <w:rPr>
          <w:rFonts w:hint="eastAsia"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优化教职员工结构，加快建设“双师型”教师队伍。学校将继续向上级部门争取，深化人事制度改革，大力吸收优秀专业技能人才，扩大教职工队伍规模，打通“双师型”教师培养瓶颈，优化师资队伍建设。</w:t>
      </w:r>
    </w:p>
    <w:p w14:paraId="23C222EE">
      <w:pPr>
        <w:ind w:firstLine="640" w:firstLineChars="200"/>
        <w:rPr>
          <w:rFonts w:hint="eastAsia"/>
        </w:rPr>
      </w:pPr>
      <w:r>
        <w:rPr>
          <w:rFonts w:hint="eastAsia"/>
        </w:rPr>
        <w:t>优化教育教学资源，聚焦高水平专业与课程建设。学校将持续探索专业与产业的匹配度，动态调整专业结构，优化各专业课程体系，建设系统性和前瞻性的课程体系，提升教师课程开发能力，建成系列精品课程资源。</w:t>
      </w:r>
    </w:p>
    <w:p w14:paraId="69C2DBE6">
      <w:pPr>
        <w:ind w:firstLine="640" w:firstLineChars="200"/>
        <w:rPr>
          <w:rFonts w:hint="eastAsia"/>
        </w:rPr>
      </w:pPr>
      <w:r>
        <w:rPr>
          <w:rFonts w:hint="eastAsia"/>
        </w:rPr>
        <w:t>优化多元育人机制，推进产教融合与校企合作。学校将全面深入了解社会文化产业与服务行业的发展趋势，结合学校自身办学实际，拓宽产教融合路径，扩大校企、校团、校校之间的多元合作规模，丰富合作形式，开拓学校多元育人新格局。</w:t>
      </w:r>
    </w:p>
    <w:p w14:paraId="07FA2BE7">
      <w:pPr>
        <w:widowControl/>
        <w:spacing w:line="240" w:lineRule="auto"/>
        <w:jc w:val="left"/>
        <w:sectPr>
          <w:footerReference r:id="rId5" w:type="default"/>
          <w:pgSz w:w="11906" w:h="16838"/>
          <w:pgMar w:top="1701" w:right="1588" w:bottom="1588" w:left="1588" w:header="851" w:footer="992" w:gutter="0"/>
          <w:pgNumType w:start="1"/>
          <w:cols w:space="425" w:num="1"/>
          <w:docGrid w:type="lines" w:linePitch="312" w:charSpace="0"/>
        </w:sectPr>
      </w:pPr>
    </w:p>
    <w:p w14:paraId="57ACFC1E">
      <w:pPr>
        <w:widowControl/>
        <w:spacing w:line="240" w:lineRule="auto"/>
        <w:jc w:val="left"/>
        <w:sectPr>
          <w:footerReference r:id="rId6" w:type="default"/>
          <w:pgSz w:w="11906" w:h="16838"/>
          <w:pgMar w:top="1701" w:right="1588" w:bottom="1588" w:left="1588" w:header="851" w:footer="992" w:gutter="0"/>
          <w:pgNumType w:start="1"/>
          <w:cols w:space="425" w:num="1"/>
          <w:docGrid w:type="lines" w:linePitch="312" w:charSpace="0"/>
        </w:sectPr>
      </w:pPr>
    </w:p>
    <w:p w14:paraId="6BBA7618">
      <w:pPr>
        <w:rPr>
          <w:rFonts w:hint="eastAsia"/>
        </w:rPr>
      </w:pPr>
      <w:r>
        <w:rPr>
          <w:rFonts w:ascii="Droid Sans Fallback" w:hAnsi="Arial" w:eastAsia="Droid Sans Fallback" w:cs="Times New Roman"/>
          <w:color w:val="000000"/>
          <w:kern w:val="24"/>
          <w:sz w:val="21"/>
          <w:szCs w:val="21"/>
        </w:rPr>
        <w:drawing>
          <wp:anchor distT="0" distB="0" distL="114300" distR="114300" simplePos="0" relativeHeight="251659264" behindDoc="0" locked="0" layoutInCell="1" allowOverlap="1">
            <wp:simplePos x="0" y="0"/>
            <wp:positionH relativeFrom="margin">
              <wp:posOffset>1602105</wp:posOffset>
            </wp:positionH>
            <wp:positionV relativeFrom="paragraph">
              <wp:posOffset>935990</wp:posOffset>
            </wp:positionV>
            <wp:extent cx="2343150" cy="238125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8" cstate="print">
                      <a:extLst>
                        <a:ext uri="{28A0092B-C50C-407E-A947-70E740481C1C}">
                          <a14:useLocalDpi xmlns:a14="http://schemas.microsoft.com/office/drawing/2010/main" val="0"/>
                        </a:ext>
                      </a:extLst>
                    </a:blip>
                    <a:srcRect l="28086" t="5466" r="25852" b="41976"/>
                    <a:stretch>
                      <a:fillRect/>
                    </a:stretch>
                  </pic:blipFill>
                  <pic:spPr>
                    <a:xfrm>
                      <a:off x="0" y="0"/>
                      <a:ext cx="2343150" cy="2381250"/>
                    </a:xfrm>
                    <a:prstGeom prst="ellipse">
                      <a:avLst/>
                    </a:prstGeom>
                    <a:ln>
                      <a:noFill/>
                    </a:ln>
                  </pic:spPr>
                </pic:pic>
              </a:graphicData>
            </a:graphic>
          </wp:anchor>
        </w:drawing>
      </w:r>
      <w:r>
        <w:rPr>
          <w:rFonts w:ascii="Droid Sans Fallback" w:hAnsi="Arial" w:eastAsia="Droid Sans Fallback" w:cs="Times New Roman"/>
          <w:color w:val="000000"/>
          <w:kern w:val="24"/>
          <w:sz w:val="21"/>
          <w:szCs w:val="21"/>
        </w:rPr>
        <w:drawing>
          <wp:anchor distT="0" distB="0" distL="114300" distR="114300" simplePos="0" relativeHeight="251660288" behindDoc="0" locked="0" layoutInCell="1" allowOverlap="1">
            <wp:simplePos x="0" y="0"/>
            <wp:positionH relativeFrom="margin">
              <wp:posOffset>230505</wp:posOffset>
            </wp:positionH>
            <wp:positionV relativeFrom="paragraph">
              <wp:posOffset>3260090</wp:posOffset>
            </wp:positionV>
            <wp:extent cx="5086985" cy="135255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9" cstate="print">
                      <a:extLst>
                        <a:ext uri="{28A0092B-C50C-407E-A947-70E740481C1C}">
                          <a14:useLocalDpi xmlns:a14="http://schemas.microsoft.com/office/drawing/2010/main" val="0"/>
                        </a:ext>
                      </a:extLst>
                    </a:blip>
                    <a:srcRect t="57603" b="12544"/>
                    <a:stretch>
                      <a:fillRect/>
                    </a:stretch>
                  </pic:blipFill>
                  <pic:spPr>
                    <a:xfrm>
                      <a:off x="0" y="0"/>
                      <a:ext cx="5086985" cy="1352550"/>
                    </a:xfrm>
                    <a:prstGeom prst="rect">
                      <a:avLst/>
                    </a:prstGeom>
                    <a:ln>
                      <a:noFill/>
                    </a:ln>
                  </pic:spPr>
                </pic:pic>
              </a:graphicData>
            </a:graphic>
          </wp:anchor>
        </w:drawing>
      </w:r>
      <w:r>
        <w:rPr>
          <w:rFonts w:ascii="Droid Sans Fallback" w:hAnsi="Arial" w:eastAsia="Droid Sans Fallback" w:cs="Times New Roman"/>
          <w:color w:val="000000"/>
          <w:kern w:val="24"/>
          <w:sz w:val="21"/>
          <w:szCs w:val="21"/>
        </w:rPr>
        <w:drawing>
          <wp:anchor distT="0" distB="0" distL="114300" distR="114300" simplePos="0" relativeHeight="251661312" behindDoc="0" locked="0" layoutInCell="1" allowOverlap="1">
            <wp:simplePos x="0" y="0"/>
            <wp:positionH relativeFrom="margin">
              <wp:posOffset>2304415</wp:posOffset>
            </wp:positionH>
            <wp:positionV relativeFrom="paragraph">
              <wp:posOffset>4691380</wp:posOffset>
            </wp:positionV>
            <wp:extent cx="933450" cy="914400"/>
            <wp:effectExtent l="0" t="0" r="0" b="0"/>
            <wp:wrapTopAndBottom/>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933450" cy="914400"/>
                    </a:xfrm>
                    <a:prstGeom prst="rect">
                      <a:avLst/>
                    </a:prstGeom>
                  </pic:spPr>
                </pic:pic>
              </a:graphicData>
            </a:graphic>
          </wp:anchor>
        </w:drawing>
      </w:r>
    </w:p>
    <w:sectPr>
      <w:footerReference r:id="rId7" w:type="default"/>
      <w:type w:val="continuous"/>
      <w:pgSz w:w="11906" w:h="16838"/>
      <w:pgMar w:top="1701" w:right="1588" w:bottom="1588" w:left="1588"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FF060CA1-0ED9-4DE5-81B9-10806CD16581}"/>
  </w:font>
  <w:font w:name="黑体">
    <w:panose1 w:val="02010609060101010101"/>
    <w:charset w:val="86"/>
    <w:family w:val="auto"/>
    <w:pitch w:val="default"/>
    <w:sig w:usb0="800002BF" w:usb1="38CF7CFA" w:usb2="00000016" w:usb3="00000000" w:csb0="00040001" w:csb1="00000000"/>
    <w:embedRegular r:id="rId2" w:fontKey="{E6153E8E-A19B-46C4-A356-EA0F4075190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2F25135E-A2F9-45AE-B226-F5088B778765}"/>
  </w:font>
  <w:font w:name="等线">
    <w:panose1 w:val="02010600030101010101"/>
    <w:charset w:val="86"/>
    <w:family w:val="auto"/>
    <w:pitch w:val="default"/>
    <w:sig w:usb0="A00002BF" w:usb1="38CF7CFA" w:usb2="00000016" w:usb3="00000000" w:csb0="0004000F" w:csb1="00000000"/>
    <w:embedRegular r:id="rId4" w:fontKey="{E523D27D-A3B4-4D08-B9C7-47F068F1C07A}"/>
  </w:font>
  <w:font w:name="楷体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embedRegular r:id="rId5" w:fontKey="{59ECB0EA-B364-4304-BD15-1AA509DE3214}"/>
  </w:font>
  <w:font w:name="思源黑体 CN Heavy">
    <w:panose1 w:val="020B0A00000000000000"/>
    <w:charset w:val="86"/>
    <w:family w:val="swiss"/>
    <w:pitch w:val="default"/>
    <w:sig w:usb0="20000003" w:usb1="2ADF3C10" w:usb2="00000016" w:usb3="00000000" w:csb0="60060107" w:csb1="00000000"/>
  </w:font>
  <w:font w:name="方正小标宋简体">
    <w:panose1 w:val="03000509000000000000"/>
    <w:charset w:val="86"/>
    <w:family w:val="script"/>
    <w:pitch w:val="default"/>
    <w:sig w:usb0="00000001" w:usb1="080E0000" w:usb2="00000000" w:usb3="00000000" w:csb0="00040000" w:csb1="00000000"/>
    <w:embedRegular r:id="rId6" w:fontKey="{8A8FC207-555A-41F8-ACE9-BAA4CDA8EA71}"/>
  </w:font>
  <w:font w:name="汉仪中黑S">
    <w:altName w:val="宋体"/>
    <w:panose1 w:val="00000000000000000000"/>
    <w:charset w:val="86"/>
    <w:family w:val="roman"/>
    <w:pitch w:val="default"/>
    <w:sig w:usb0="00000000" w:usb1="00000000" w:usb2="00000016" w:usb3="00000000" w:csb0="00040000" w:csb1="00000000"/>
    <w:embedRegular r:id="rId7" w:fontKey="{FB0876BC-E59F-43DE-9C3F-E54F13DD2532}"/>
  </w:font>
  <w:font w:name="方正公文小标宋">
    <w:panose1 w:val="02000500000000000000"/>
    <w:charset w:val="86"/>
    <w:family w:val="auto"/>
    <w:pitch w:val="default"/>
    <w:sig w:usb0="A00002BF" w:usb1="38CF7CFA" w:usb2="00000016" w:usb3="00000000" w:csb0="00040001" w:csb1="00000000"/>
    <w:embedRegular r:id="rId8" w:fontKey="{0D0A42B2-C43D-40CB-A84A-63C330858D69}"/>
  </w:font>
  <w:font w:name="仿宋">
    <w:panose1 w:val="02010609060101010101"/>
    <w:charset w:val="86"/>
    <w:family w:val="modern"/>
    <w:pitch w:val="default"/>
    <w:sig w:usb0="800002BF" w:usb1="38CF7CFA" w:usb2="00000016" w:usb3="00000000" w:csb0="00040001" w:csb1="00000000"/>
    <w:embedRegular r:id="rId9" w:fontKey="{0F52DBB0-013F-4045-86A0-F09AD41A2121}"/>
  </w:font>
  <w:font w:name="Helvetica">
    <w:altName w:val="Arial"/>
    <w:panose1 w:val="020B0604020202020204"/>
    <w:charset w:val="00"/>
    <w:family w:val="swiss"/>
    <w:pitch w:val="default"/>
    <w:sig w:usb0="00000000" w:usb1="00000000" w:usb2="00000000" w:usb3="00000000" w:csb0="00000001" w:csb1="00000000"/>
    <w:embedRegular r:id="rId10" w:fontKey="{342FCC5D-7FCE-4F50-8D3C-439D7B311C7B}"/>
  </w:font>
  <w:font w:name="微软雅黑">
    <w:panose1 w:val="020B0503020204020204"/>
    <w:charset w:val="86"/>
    <w:family w:val="swiss"/>
    <w:pitch w:val="default"/>
    <w:sig w:usb0="80000287" w:usb1="280F3C52" w:usb2="00000016" w:usb3="00000000" w:csb0="0004001F" w:csb1="00000000"/>
  </w:font>
  <w:font w:name="Droid Sans Fallback">
    <w:panose1 w:val="020B0502000000000001"/>
    <w:charset w:val="80"/>
    <w:family w:val="modern"/>
    <w:pitch w:val="default"/>
    <w:sig w:usb0="800002AF" w:usb1="29DF7CFB" w:usb2="00000016" w:usb3="00000000" w:csb0="001A0000" w:csb1="00000000"/>
    <w:embedRegular r:id="rId11" w:fontKey="{D84E4BA7-038A-4EFC-BD6C-C4C22B5E5ED1}"/>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03070874"/>
    </w:sdtPr>
    <w:sdtContent>
      <w:p w14:paraId="05266207">
        <w:pPr>
          <w:pStyle w:val="9"/>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2C8B566C">
    <w:pPr>
      <w:pStyle w:val="9"/>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09336">
    <w:pPr>
      <w:pStyle w:val="9"/>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B110C">
    <w:pPr>
      <w:pStyle w:val="9"/>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76423A5"/>
    <w:multiLevelType w:val="multilevel"/>
    <w:tmpl w:val="376423A5"/>
    <w:lvl w:ilvl="0" w:tentative="0">
      <w:start w:val="1"/>
      <w:numFmt w:val="decimal"/>
      <w:lvlText w:val="%1."/>
      <w:lvlJc w:val="left"/>
      <w:pPr>
        <w:ind w:left="1000" w:hanging="360"/>
      </w:pPr>
      <w:rPr>
        <w:rFonts w:hint="default"/>
      </w:rPr>
    </w:lvl>
    <w:lvl w:ilvl="1" w:tentative="0">
      <w:start w:val="1"/>
      <w:numFmt w:val="lowerLetter"/>
      <w:lvlText w:val="%2)"/>
      <w:lvlJc w:val="left"/>
      <w:pPr>
        <w:ind w:left="1520" w:hanging="440"/>
      </w:pPr>
    </w:lvl>
    <w:lvl w:ilvl="2" w:tentative="0">
      <w:start w:val="1"/>
      <w:numFmt w:val="lowerRoman"/>
      <w:lvlText w:val="%3."/>
      <w:lvlJc w:val="right"/>
      <w:pPr>
        <w:ind w:left="1960" w:hanging="440"/>
      </w:pPr>
    </w:lvl>
    <w:lvl w:ilvl="3" w:tentative="0">
      <w:start w:val="1"/>
      <w:numFmt w:val="decimal"/>
      <w:lvlText w:val="%4."/>
      <w:lvlJc w:val="left"/>
      <w:pPr>
        <w:ind w:left="2400" w:hanging="440"/>
      </w:pPr>
    </w:lvl>
    <w:lvl w:ilvl="4" w:tentative="0">
      <w:start w:val="1"/>
      <w:numFmt w:val="lowerLetter"/>
      <w:lvlText w:val="%5)"/>
      <w:lvlJc w:val="left"/>
      <w:pPr>
        <w:ind w:left="2840" w:hanging="440"/>
      </w:pPr>
    </w:lvl>
    <w:lvl w:ilvl="5" w:tentative="0">
      <w:start w:val="1"/>
      <w:numFmt w:val="lowerRoman"/>
      <w:lvlText w:val="%6."/>
      <w:lvlJc w:val="right"/>
      <w:pPr>
        <w:ind w:left="3280" w:hanging="440"/>
      </w:pPr>
    </w:lvl>
    <w:lvl w:ilvl="6" w:tentative="0">
      <w:start w:val="1"/>
      <w:numFmt w:val="decimal"/>
      <w:lvlText w:val="%7."/>
      <w:lvlJc w:val="left"/>
      <w:pPr>
        <w:ind w:left="3720" w:hanging="440"/>
      </w:pPr>
    </w:lvl>
    <w:lvl w:ilvl="7" w:tentative="0">
      <w:start w:val="1"/>
      <w:numFmt w:val="lowerLetter"/>
      <w:lvlText w:val="%8)"/>
      <w:lvlJc w:val="left"/>
      <w:pPr>
        <w:ind w:left="4160" w:hanging="440"/>
      </w:pPr>
    </w:lvl>
    <w:lvl w:ilvl="8" w:tentative="0">
      <w:start w:val="1"/>
      <w:numFmt w:val="lowerRoman"/>
      <w:lvlText w:val="%9."/>
      <w:lvlJc w:val="right"/>
      <w:pPr>
        <w:ind w:left="460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60"/>
  <w:drawingGridVerticalSpacing w:val="43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E2C"/>
    <w:rsid w:val="00001823"/>
    <w:rsid w:val="00006B52"/>
    <w:rsid w:val="00007C6A"/>
    <w:rsid w:val="00010AB4"/>
    <w:rsid w:val="00013767"/>
    <w:rsid w:val="00022891"/>
    <w:rsid w:val="000250D7"/>
    <w:rsid w:val="000257F6"/>
    <w:rsid w:val="00026F76"/>
    <w:rsid w:val="00027501"/>
    <w:rsid w:val="00033F4A"/>
    <w:rsid w:val="00040334"/>
    <w:rsid w:val="00044AE4"/>
    <w:rsid w:val="000453EF"/>
    <w:rsid w:val="00046410"/>
    <w:rsid w:val="0004700B"/>
    <w:rsid w:val="00052201"/>
    <w:rsid w:val="00057092"/>
    <w:rsid w:val="000576F7"/>
    <w:rsid w:val="00060F87"/>
    <w:rsid w:val="00061AAF"/>
    <w:rsid w:val="000652E9"/>
    <w:rsid w:val="00065F2E"/>
    <w:rsid w:val="00066A6E"/>
    <w:rsid w:val="000745EE"/>
    <w:rsid w:val="000754DC"/>
    <w:rsid w:val="00082E9D"/>
    <w:rsid w:val="00084D6A"/>
    <w:rsid w:val="00084FB9"/>
    <w:rsid w:val="0009095C"/>
    <w:rsid w:val="000909C5"/>
    <w:rsid w:val="000910BB"/>
    <w:rsid w:val="00091581"/>
    <w:rsid w:val="00095067"/>
    <w:rsid w:val="0009788D"/>
    <w:rsid w:val="000A1A27"/>
    <w:rsid w:val="000A6A9C"/>
    <w:rsid w:val="000A7543"/>
    <w:rsid w:val="000B083B"/>
    <w:rsid w:val="000B10E1"/>
    <w:rsid w:val="000C3B01"/>
    <w:rsid w:val="000D0338"/>
    <w:rsid w:val="000D3FB3"/>
    <w:rsid w:val="000D565F"/>
    <w:rsid w:val="000D5D5B"/>
    <w:rsid w:val="000D67E2"/>
    <w:rsid w:val="000E14E7"/>
    <w:rsid w:val="000E1902"/>
    <w:rsid w:val="000E1B2F"/>
    <w:rsid w:val="000E35B9"/>
    <w:rsid w:val="000E4A28"/>
    <w:rsid w:val="000E567D"/>
    <w:rsid w:val="000F3159"/>
    <w:rsid w:val="000F4073"/>
    <w:rsid w:val="000F4861"/>
    <w:rsid w:val="000F4ABC"/>
    <w:rsid w:val="00100FBF"/>
    <w:rsid w:val="00103F91"/>
    <w:rsid w:val="001053EC"/>
    <w:rsid w:val="00105692"/>
    <w:rsid w:val="00111655"/>
    <w:rsid w:val="0012076D"/>
    <w:rsid w:val="001231FF"/>
    <w:rsid w:val="001240D1"/>
    <w:rsid w:val="00125CAD"/>
    <w:rsid w:val="001260CA"/>
    <w:rsid w:val="00126231"/>
    <w:rsid w:val="00134001"/>
    <w:rsid w:val="00136500"/>
    <w:rsid w:val="0014236A"/>
    <w:rsid w:val="00143A93"/>
    <w:rsid w:val="0014466E"/>
    <w:rsid w:val="00144E07"/>
    <w:rsid w:val="0014598D"/>
    <w:rsid w:val="001553E2"/>
    <w:rsid w:val="00162C2A"/>
    <w:rsid w:val="00162EC3"/>
    <w:rsid w:val="00165779"/>
    <w:rsid w:val="001673A3"/>
    <w:rsid w:val="001673B4"/>
    <w:rsid w:val="00167B80"/>
    <w:rsid w:val="001701E0"/>
    <w:rsid w:val="0017030B"/>
    <w:rsid w:val="0017257D"/>
    <w:rsid w:val="00173EF7"/>
    <w:rsid w:val="00177239"/>
    <w:rsid w:val="001809DB"/>
    <w:rsid w:val="00181553"/>
    <w:rsid w:val="00182F11"/>
    <w:rsid w:val="00183066"/>
    <w:rsid w:val="00183DBA"/>
    <w:rsid w:val="00185AD3"/>
    <w:rsid w:val="00190715"/>
    <w:rsid w:val="00192ADE"/>
    <w:rsid w:val="00193062"/>
    <w:rsid w:val="00194057"/>
    <w:rsid w:val="0019480F"/>
    <w:rsid w:val="001A3A83"/>
    <w:rsid w:val="001A432C"/>
    <w:rsid w:val="001B0717"/>
    <w:rsid w:val="001B2F61"/>
    <w:rsid w:val="001B4033"/>
    <w:rsid w:val="001C2EC1"/>
    <w:rsid w:val="001C35C3"/>
    <w:rsid w:val="001C4306"/>
    <w:rsid w:val="001C5830"/>
    <w:rsid w:val="001C6646"/>
    <w:rsid w:val="001C7377"/>
    <w:rsid w:val="001D23DC"/>
    <w:rsid w:val="001D26A6"/>
    <w:rsid w:val="001D55FB"/>
    <w:rsid w:val="001D5693"/>
    <w:rsid w:val="001E2503"/>
    <w:rsid w:val="001E4FC6"/>
    <w:rsid w:val="001E5840"/>
    <w:rsid w:val="001F0E03"/>
    <w:rsid w:val="001F0E7F"/>
    <w:rsid w:val="001F1F72"/>
    <w:rsid w:val="001F4295"/>
    <w:rsid w:val="001F5110"/>
    <w:rsid w:val="001F7D63"/>
    <w:rsid w:val="00201911"/>
    <w:rsid w:val="00204681"/>
    <w:rsid w:val="00205BE2"/>
    <w:rsid w:val="00206CE1"/>
    <w:rsid w:val="0021066B"/>
    <w:rsid w:val="00210868"/>
    <w:rsid w:val="00212A81"/>
    <w:rsid w:val="00213481"/>
    <w:rsid w:val="00216E3B"/>
    <w:rsid w:val="00217C3B"/>
    <w:rsid w:val="002375E8"/>
    <w:rsid w:val="00243BCD"/>
    <w:rsid w:val="0024643D"/>
    <w:rsid w:val="00246BFB"/>
    <w:rsid w:val="00247896"/>
    <w:rsid w:val="00250E45"/>
    <w:rsid w:val="00253634"/>
    <w:rsid w:val="00260EE6"/>
    <w:rsid w:val="002612FB"/>
    <w:rsid w:val="00261C1F"/>
    <w:rsid w:val="0026340C"/>
    <w:rsid w:val="00265372"/>
    <w:rsid w:val="0026639A"/>
    <w:rsid w:val="00271157"/>
    <w:rsid w:val="0027592B"/>
    <w:rsid w:val="0027707A"/>
    <w:rsid w:val="00281BF2"/>
    <w:rsid w:val="00283E74"/>
    <w:rsid w:val="00286B9E"/>
    <w:rsid w:val="00286F67"/>
    <w:rsid w:val="002917CC"/>
    <w:rsid w:val="002922C6"/>
    <w:rsid w:val="002923ED"/>
    <w:rsid w:val="00293B82"/>
    <w:rsid w:val="002968D7"/>
    <w:rsid w:val="002A0AD3"/>
    <w:rsid w:val="002A3238"/>
    <w:rsid w:val="002A40D3"/>
    <w:rsid w:val="002A5951"/>
    <w:rsid w:val="002B051D"/>
    <w:rsid w:val="002B1DBB"/>
    <w:rsid w:val="002B6AE9"/>
    <w:rsid w:val="002D2A3F"/>
    <w:rsid w:val="002D2D85"/>
    <w:rsid w:val="002D34ED"/>
    <w:rsid w:val="002D6E66"/>
    <w:rsid w:val="002E2BA6"/>
    <w:rsid w:val="002E6D46"/>
    <w:rsid w:val="002E7A02"/>
    <w:rsid w:val="002F32F4"/>
    <w:rsid w:val="002F4165"/>
    <w:rsid w:val="003015A6"/>
    <w:rsid w:val="00304F0F"/>
    <w:rsid w:val="00310A6E"/>
    <w:rsid w:val="00312034"/>
    <w:rsid w:val="00313299"/>
    <w:rsid w:val="00322691"/>
    <w:rsid w:val="00325FEA"/>
    <w:rsid w:val="00326460"/>
    <w:rsid w:val="00331E4D"/>
    <w:rsid w:val="00333BB9"/>
    <w:rsid w:val="0033431D"/>
    <w:rsid w:val="00335EBA"/>
    <w:rsid w:val="003369CB"/>
    <w:rsid w:val="00342082"/>
    <w:rsid w:val="00342270"/>
    <w:rsid w:val="00347BF4"/>
    <w:rsid w:val="003504E8"/>
    <w:rsid w:val="00351ED2"/>
    <w:rsid w:val="00352005"/>
    <w:rsid w:val="00352B27"/>
    <w:rsid w:val="00353667"/>
    <w:rsid w:val="00354262"/>
    <w:rsid w:val="003546CF"/>
    <w:rsid w:val="00355006"/>
    <w:rsid w:val="0035655D"/>
    <w:rsid w:val="00357773"/>
    <w:rsid w:val="00365092"/>
    <w:rsid w:val="00365654"/>
    <w:rsid w:val="00366726"/>
    <w:rsid w:val="00370351"/>
    <w:rsid w:val="00370762"/>
    <w:rsid w:val="00371E8F"/>
    <w:rsid w:val="00373B7A"/>
    <w:rsid w:val="00374245"/>
    <w:rsid w:val="003743E9"/>
    <w:rsid w:val="003747CA"/>
    <w:rsid w:val="003768A1"/>
    <w:rsid w:val="00384973"/>
    <w:rsid w:val="003863FA"/>
    <w:rsid w:val="003925BA"/>
    <w:rsid w:val="00394E3D"/>
    <w:rsid w:val="00394FFB"/>
    <w:rsid w:val="003A0763"/>
    <w:rsid w:val="003A5EAA"/>
    <w:rsid w:val="003B2D2D"/>
    <w:rsid w:val="003B67FC"/>
    <w:rsid w:val="003C0704"/>
    <w:rsid w:val="003C0C33"/>
    <w:rsid w:val="003C6697"/>
    <w:rsid w:val="003C72E2"/>
    <w:rsid w:val="003D1E25"/>
    <w:rsid w:val="003D2A83"/>
    <w:rsid w:val="003D7271"/>
    <w:rsid w:val="003E0C9F"/>
    <w:rsid w:val="003E1CCD"/>
    <w:rsid w:val="003E6CAB"/>
    <w:rsid w:val="003F7645"/>
    <w:rsid w:val="00401A51"/>
    <w:rsid w:val="00402AEE"/>
    <w:rsid w:val="00403BFC"/>
    <w:rsid w:val="00404034"/>
    <w:rsid w:val="004044BA"/>
    <w:rsid w:val="0040754A"/>
    <w:rsid w:val="00407806"/>
    <w:rsid w:val="004110CA"/>
    <w:rsid w:val="00411E48"/>
    <w:rsid w:val="00411E58"/>
    <w:rsid w:val="0041248E"/>
    <w:rsid w:val="00413873"/>
    <w:rsid w:val="004145E4"/>
    <w:rsid w:val="0043112E"/>
    <w:rsid w:val="00433828"/>
    <w:rsid w:val="00433B5C"/>
    <w:rsid w:val="00433E27"/>
    <w:rsid w:val="00436BCF"/>
    <w:rsid w:val="00437F62"/>
    <w:rsid w:val="004410B9"/>
    <w:rsid w:val="00441B45"/>
    <w:rsid w:val="00443672"/>
    <w:rsid w:val="00443DCE"/>
    <w:rsid w:val="00445A36"/>
    <w:rsid w:val="00446C9B"/>
    <w:rsid w:val="0045281B"/>
    <w:rsid w:val="0045349F"/>
    <w:rsid w:val="00455ACE"/>
    <w:rsid w:val="00455C55"/>
    <w:rsid w:val="004563D5"/>
    <w:rsid w:val="004564FF"/>
    <w:rsid w:val="00456EF6"/>
    <w:rsid w:val="004608CA"/>
    <w:rsid w:val="00462EF3"/>
    <w:rsid w:val="004702FA"/>
    <w:rsid w:val="0047189E"/>
    <w:rsid w:val="00474A2D"/>
    <w:rsid w:val="00477995"/>
    <w:rsid w:val="004856CB"/>
    <w:rsid w:val="00486A9E"/>
    <w:rsid w:val="004932E7"/>
    <w:rsid w:val="00497017"/>
    <w:rsid w:val="00497AAF"/>
    <w:rsid w:val="004A063E"/>
    <w:rsid w:val="004A131C"/>
    <w:rsid w:val="004A1B7D"/>
    <w:rsid w:val="004A29C4"/>
    <w:rsid w:val="004B1638"/>
    <w:rsid w:val="004B41E1"/>
    <w:rsid w:val="004B5C78"/>
    <w:rsid w:val="004B5E36"/>
    <w:rsid w:val="004C2B65"/>
    <w:rsid w:val="004C766B"/>
    <w:rsid w:val="004D20E2"/>
    <w:rsid w:val="004D2CBF"/>
    <w:rsid w:val="004D2E36"/>
    <w:rsid w:val="004D4157"/>
    <w:rsid w:val="004E0C2F"/>
    <w:rsid w:val="004E2C6C"/>
    <w:rsid w:val="004F0C44"/>
    <w:rsid w:val="004F220F"/>
    <w:rsid w:val="004F36FF"/>
    <w:rsid w:val="004F3875"/>
    <w:rsid w:val="004F4CCF"/>
    <w:rsid w:val="004F4D33"/>
    <w:rsid w:val="004F6949"/>
    <w:rsid w:val="005027B8"/>
    <w:rsid w:val="00502F3E"/>
    <w:rsid w:val="005072B5"/>
    <w:rsid w:val="00510C91"/>
    <w:rsid w:val="00511AE8"/>
    <w:rsid w:val="00512AF3"/>
    <w:rsid w:val="0051638E"/>
    <w:rsid w:val="005222AE"/>
    <w:rsid w:val="00522BF2"/>
    <w:rsid w:val="005249FA"/>
    <w:rsid w:val="00531B7B"/>
    <w:rsid w:val="00534AF9"/>
    <w:rsid w:val="00534EC9"/>
    <w:rsid w:val="00537068"/>
    <w:rsid w:val="00540E32"/>
    <w:rsid w:val="0054219B"/>
    <w:rsid w:val="00543857"/>
    <w:rsid w:val="0054481B"/>
    <w:rsid w:val="00544D40"/>
    <w:rsid w:val="005457B6"/>
    <w:rsid w:val="00547B9A"/>
    <w:rsid w:val="0055034E"/>
    <w:rsid w:val="00551AA1"/>
    <w:rsid w:val="00552B4D"/>
    <w:rsid w:val="005541A1"/>
    <w:rsid w:val="005606A9"/>
    <w:rsid w:val="00560C05"/>
    <w:rsid w:val="005626AD"/>
    <w:rsid w:val="00563579"/>
    <w:rsid w:val="00567319"/>
    <w:rsid w:val="0057116B"/>
    <w:rsid w:val="0057265D"/>
    <w:rsid w:val="005825B2"/>
    <w:rsid w:val="0058274D"/>
    <w:rsid w:val="00585CA0"/>
    <w:rsid w:val="0058632F"/>
    <w:rsid w:val="0058646A"/>
    <w:rsid w:val="005871BE"/>
    <w:rsid w:val="00593408"/>
    <w:rsid w:val="00594DF0"/>
    <w:rsid w:val="005952F4"/>
    <w:rsid w:val="005A4CC1"/>
    <w:rsid w:val="005A4CD6"/>
    <w:rsid w:val="005B0FBD"/>
    <w:rsid w:val="005B1678"/>
    <w:rsid w:val="005B1CB8"/>
    <w:rsid w:val="005B1F96"/>
    <w:rsid w:val="005B4A50"/>
    <w:rsid w:val="005C25D3"/>
    <w:rsid w:val="005C322D"/>
    <w:rsid w:val="005C3DB6"/>
    <w:rsid w:val="005C53C0"/>
    <w:rsid w:val="005C73CB"/>
    <w:rsid w:val="005C7C45"/>
    <w:rsid w:val="005D450D"/>
    <w:rsid w:val="005D6F27"/>
    <w:rsid w:val="005E0130"/>
    <w:rsid w:val="005E05A0"/>
    <w:rsid w:val="005E18FF"/>
    <w:rsid w:val="005E34FE"/>
    <w:rsid w:val="005E4A72"/>
    <w:rsid w:val="005E66D1"/>
    <w:rsid w:val="005E6DDA"/>
    <w:rsid w:val="005E7605"/>
    <w:rsid w:val="005F33B8"/>
    <w:rsid w:val="005F37B5"/>
    <w:rsid w:val="005F3903"/>
    <w:rsid w:val="005F4571"/>
    <w:rsid w:val="005F52C1"/>
    <w:rsid w:val="005F70A1"/>
    <w:rsid w:val="00600BB7"/>
    <w:rsid w:val="006012E2"/>
    <w:rsid w:val="006030AC"/>
    <w:rsid w:val="0060328A"/>
    <w:rsid w:val="00603866"/>
    <w:rsid w:val="00611D88"/>
    <w:rsid w:val="00612E6F"/>
    <w:rsid w:val="00617DDE"/>
    <w:rsid w:val="00621C84"/>
    <w:rsid w:val="00623186"/>
    <w:rsid w:val="0062397F"/>
    <w:rsid w:val="00625E0D"/>
    <w:rsid w:val="00626A89"/>
    <w:rsid w:val="00630BA6"/>
    <w:rsid w:val="0063220E"/>
    <w:rsid w:val="006377C3"/>
    <w:rsid w:val="0064370B"/>
    <w:rsid w:val="00644EFC"/>
    <w:rsid w:val="006518D2"/>
    <w:rsid w:val="0065306E"/>
    <w:rsid w:val="006627C6"/>
    <w:rsid w:val="0066605D"/>
    <w:rsid w:val="00667FD1"/>
    <w:rsid w:val="00674576"/>
    <w:rsid w:val="00681591"/>
    <w:rsid w:val="00682FA6"/>
    <w:rsid w:val="006846BA"/>
    <w:rsid w:val="00684822"/>
    <w:rsid w:val="00687C47"/>
    <w:rsid w:val="006952A2"/>
    <w:rsid w:val="00695CD6"/>
    <w:rsid w:val="006961DA"/>
    <w:rsid w:val="006A003C"/>
    <w:rsid w:val="006A34A0"/>
    <w:rsid w:val="006A3EED"/>
    <w:rsid w:val="006A6B00"/>
    <w:rsid w:val="006B3B65"/>
    <w:rsid w:val="006B3DED"/>
    <w:rsid w:val="006B5D53"/>
    <w:rsid w:val="006B7B02"/>
    <w:rsid w:val="006B7FC4"/>
    <w:rsid w:val="006C2F35"/>
    <w:rsid w:val="006C3B63"/>
    <w:rsid w:val="006C520C"/>
    <w:rsid w:val="006C53BA"/>
    <w:rsid w:val="006C6482"/>
    <w:rsid w:val="006D090E"/>
    <w:rsid w:val="006D51C4"/>
    <w:rsid w:val="006D591B"/>
    <w:rsid w:val="006D5EB5"/>
    <w:rsid w:val="006E04D0"/>
    <w:rsid w:val="006E3E96"/>
    <w:rsid w:val="006E4C70"/>
    <w:rsid w:val="006F0C6B"/>
    <w:rsid w:val="006F1AA2"/>
    <w:rsid w:val="006F1BED"/>
    <w:rsid w:val="006F2698"/>
    <w:rsid w:val="006F2B2C"/>
    <w:rsid w:val="006F657F"/>
    <w:rsid w:val="0070148C"/>
    <w:rsid w:val="00704E28"/>
    <w:rsid w:val="00704EA7"/>
    <w:rsid w:val="00705A1E"/>
    <w:rsid w:val="00706122"/>
    <w:rsid w:val="00707E45"/>
    <w:rsid w:val="007118A0"/>
    <w:rsid w:val="00712032"/>
    <w:rsid w:val="007143A6"/>
    <w:rsid w:val="00715049"/>
    <w:rsid w:val="00716913"/>
    <w:rsid w:val="00717615"/>
    <w:rsid w:val="00717991"/>
    <w:rsid w:val="007209EB"/>
    <w:rsid w:val="00720E35"/>
    <w:rsid w:val="0072119F"/>
    <w:rsid w:val="00730DC0"/>
    <w:rsid w:val="007320EA"/>
    <w:rsid w:val="00736060"/>
    <w:rsid w:val="00744771"/>
    <w:rsid w:val="00744D33"/>
    <w:rsid w:val="00746A37"/>
    <w:rsid w:val="007510E2"/>
    <w:rsid w:val="00756197"/>
    <w:rsid w:val="00761444"/>
    <w:rsid w:val="00761A0B"/>
    <w:rsid w:val="00763628"/>
    <w:rsid w:val="0076490F"/>
    <w:rsid w:val="00764ADF"/>
    <w:rsid w:val="00766663"/>
    <w:rsid w:val="00766A9C"/>
    <w:rsid w:val="007670D8"/>
    <w:rsid w:val="00772BEB"/>
    <w:rsid w:val="00772E06"/>
    <w:rsid w:val="00777CD6"/>
    <w:rsid w:val="00782B83"/>
    <w:rsid w:val="007830F1"/>
    <w:rsid w:val="00792524"/>
    <w:rsid w:val="00794C12"/>
    <w:rsid w:val="007A1ACC"/>
    <w:rsid w:val="007A5CA7"/>
    <w:rsid w:val="007A620E"/>
    <w:rsid w:val="007A754F"/>
    <w:rsid w:val="007B1133"/>
    <w:rsid w:val="007B2265"/>
    <w:rsid w:val="007B4C76"/>
    <w:rsid w:val="007B54BB"/>
    <w:rsid w:val="007C3EDD"/>
    <w:rsid w:val="007C4376"/>
    <w:rsid w:val="007C6D7C"/>
    <w:rsid w:val="007C7A53"/>
    <w:rsid w:val="007C7BA6"/>
    <w:rsid w:val="007D63F3"/>
    <w:rsid w:val="007E09B8"/>
    <w:rsid w:val="007E10E2"/>
    <w:rsid w:val="007E5999"/>
    <w:rsid w:val="007E7063"/>
    <w:rsid w:val="007F14A1"/>
    <w:rsid w:val="007F3205"/>
    <w:rsid w:val="008021C3"/>
    <w:rsid w:val="00803710"/>
    <w:rsid w:val="00803DD6"/>
    <w:rsid w:val="00803E34"/>
    <w:rsid w:val="0080463F"/>
    <w:rsid w:val="00806BB4"/>
    <w:rsid w:val="00811854"/>
    <w:rsid w:val="008122DC"/>
    <w:rsid w:val="00813BF3"/>
    <w:rsid w:val="00814CB4"/>
    <w:rsid w:val="0081793F"/>
    <w:rsid w:val="00817C60"/>
    <w:rsid w:val="00817EA8"/>
    <w:rsid w:val="00821578"/>
    <w:rsid w:val="008220CF"/>
    <w:rsid w:val="008248C4"/>
    <w:rsid w:val="00824F0F"/>
    <w:rsid w:val="00832F48"/>
    <w:rsid w:val="008371A9"/>
    <w:rsid w:val="00845BA5"/>
    <w:rsid w:val="00845D46"/>
    <w:rsid w:val="00847127"/>
    <w:rsid w:val="0084757A"/>
    <w:rsid w:val="00852E87"/>
    <w:rsid w:val="00854DA3"/>
    <w:rsid w:val="00857B4F"/>
    <w:rsid w:val="0086126E"/>
    <w:rsid w:val="008652BA"/>
    <w:rsid w:val="008672F3"/>
    <w:rsid w:val="00876905"/>
    <w:rsid w:val="008820C6"/>
    <w:rsid w:val="00883B27"/>
    <w:rsid w:val="0088595F"/>
    <w:rsid w:val="00885E34"/>
    <w:rsid w:val="00890125"/>
    <w:rsid w:val="00891E08"/>
    <w:rsid w:val="0089516E"/>
    <w:rsid w:val="00896019"/>
    <w:rsid w:val="008A04B6"/>
    <w:rsid w:val="008A2FC2"/>
    <w:rsid w:val="008A7823"/>
    <w:rsid w:val="008B085D"/>
    <w:rsid w:val="008B2F83"/>
    <w:rsid w:val="008B6327"/>
    <w:rsid w:val="008B6826"/>
    <w:rsid w:val="008B7E14"/>
    <w:rsid w:val="008C0448"/>
    <w:rsid w:val="008C04F4"/>
    <w:rsid w:val="008C0D29"/>
    <w:rsid w:val="008C298D"/>
    <w:rsid w:val="008C48D2"/>
    <w:rsid w:val="008D4062"/>
    <w:rsid w:val="008D4C27"/>
    <w:rsid w:val="008D7377"/>
    <w:rsid w:val="008D7AB8"/>
    <w:rsid w:val="008D7C0E"/>
    <w:rsid w:val="008E0AC9"/>
    <w:rsid w:val="008E1B60"/>
    <w:rsid w:val="008E1F53"/>
    <w:rsid w:val="008E2BDE"/>
    <w:rsid w:val="008E39B5"/>
    <w:rsid w:val="008E5EFE"/>
    <w:rsid w:val="008E763C"/>
    <w:rsid w:val="008F0370"/>
    <w:rsid w:val="008F077D"/>
    <w:rsid w:val="008F118B"/>
    <w:rsid w:val="008F24CE"/>
    <w:rsid w:val="008F2620"/>
    <w:rsid w:val="008F2893"/>
    <w:rsid w:val="008F29BE"/>
    <w:rsid w:val="008F3167"/>
    <w:rsid w:val="008F4687"/>
    <w:rsid w:val="008F4BB3"/>
    <w:rsid w:val="009008B7"/>
    <w:rsid w:val="0090128C"/>
    <w:rsid w:val="00904BF5"/>
    <w:rsid w:val="009115E3"/>
    <w:rsid w:val="009134AE"/>
    <w:rsid w:val="00913FEF"/>
    <w:rsid w:val="009162FA"/>
    <w:rsid w:val="00916DBF"/>
    <w:rsid w:val="00920C4D"/>
    <w:rsid w:val="00924203"/>
    <w:rsid w:val="00927196"/>
    <w:rsid w:val="00930F4D"/>
    <w:rsid w:val="00930FB3"/>
    <w:rsid w:val="00931586"/>
    <w:rsid w:val="00934308"/>
    <w:rsid w:val="009352E8"/>
    <w:rsid w:val="0093670F"/>
    <w:rsid w:val="00940AA1"/>
    <w:rsid w:val="00940FE6"/>
    <w:rsid w:val="009515AE"/>
    <w:rsid w:val="00952B54"/>
    <w:rsid w:val="00952C0C"/>
    <w:rsid w:val="00952CA7"/>
    <w:rsid w:val="009534DC"/>
    <w:rsid w:val="00963FB3"/>
    <w:rsid w:val="009641BA"/>
    <w:rsid w:val="00966A14"/>
    <w:rsid w:val="00972478"/>
    <w:rsid w:val="009747EE"/>
    <w:rsid w:val="00975F30"/>
    <w:rsid w:val="00983342"/>
    <w:rsid w:val="009844E8"/>
    <w:rsid w:val="00986A00"/>
    <w:rsid w:val="0099185C"/>
    <w:rsid w:val="00993B0E"/>
    <w:rsid w:val="009A0DE0"/>
    <w:rsid w:val="009A13AF"/>
    <w:rsid w:val="009A14AA"/>
    <w:rsid w:val="009A20B9"/>
    <w:rsid w:val="009A492D"/>
    <w:rsid w:val="009B2E8A"/>
    <w:rsid w:val="009B2EEB"/>
    <w:rsid w:val="009B40BA"/>
    <w:rsid w:val="009B4D1E"/>
    <w:rsid w:val="009B4FCD"/>
    <w:rsid w:val="009B5121"/>
    <w:rsid w:val="009B5EEA"/>
    <w:rsid w:val="009C0D17"/>
    <w:rsid w:val="009C1856"/>
    <w:rsid w:val="009C1F9C"/>
    <w:rsid w:val="009C2400"/>
    <w:rsid w:val="009C282B"/>
    <w:rsid w:val="009D2891"/>
    <w:rsid w:val="009D3428"/>
    <w:rsid w:val="009D6659"/>
    <w:rsid w:val="009E04CF"/>
    <w:rsid w:val="009E1888"/>
    <w:rsid w:val="009E3CE4"/>
    <w:rsid w:val="009E4192"/>
    <w:rsid w:val="009E56D1"/>
    <w:rsid w:val="009E76A2"/>
    <w:rsid w:val="009F0D96"/>
    <w:rsid w:val="009F2B90"/>
    <w:rsid w:val="009F483C"/>
    <w:rsid w:val="009F53AF"/>
    <w:rsid w:val="009F61D2"/>
    <w:rsid w:val="00A0269C"/>
    <w:rsid w:val="00A05F5B"/>
    <w:rsid w:val="00A0683E"/>
    <w:rsid w:val="00A10907"/>
    <w:rsid w:val="00A12FBA"/>
    <w:rsid w:val="00A1757F"/>
    <w:rsid w:val="00A20F0E"/>
    <w:rsid w:val="00A301D2"/>
    <w:rsid w:val="00A30503"/>
    <w:rsid w:val="00A312C0"/>
    <w:rsid w:val="00A34E83"/>
    <w:rsid w:val="00A37EF0"/>
    <w:rsid w:val="00A42CB7"/>
    <w:rsid w:val="00A433F8"/>
    <w:rsid w:val="00A449C9"/>
    <w:rsid w:val="00A44FFE"/>
    <w:rsid w:val="00A507FD"/>
    <w:rsid w:val="00A51133"/>
    <w:rsid w:val="00A51A6C"/>
    <w:rsid w:val="00A55424"/>
    <w:rsid w:val="00A60B66"/>
    <w:rsid w:val="00A617AF"/>
    <w:rsid w:val="00A61C33"/>
    <w:rsid w:val="00A63D5B"/>
    <w:rsid w:val="00A67D83"/>
    <w:rsid w:val="00A702EF"/>
    <w:rsid w:val="00A70556"/>
    <w:rsid w:val="00A70A73"/>
    <w:rsid w:val="00A71C27"/>
    <w:rsid w:val="00A72F81"/>
    <w:rsid w:val="00A738DF"/>
    <w:rsid w:val="00A73BA1"/>
    <w:rsid w:val="00A757BE"/>
    <w:rsid w:val="00A76100"/>
    <w:rsid w:val="00A80DC2"/>
    <w:rsid w:val="00A820CE"/>
    <w:rsid w:val="00A821CF"/>
    <w:rsid w:val="00A82968"/>
    <w:rsid w:val="00A8391C"/>
    <w:rsid w:val="00A8634E"/>
    <w:rsid w:val="00A872EE"/>
    <w:rsid w:val="00A914EE"/>
    <w:rsid w:val="00A94CEA"/>
    <w:rsid w:val="00A957AD"/>
    <w:rsid w:val="00AA46B2"/>
    <w:rsid w:val="00AA50AC"/>
    <w:rsid w:val="00AB06A2"/>
    <w:rsid w:val="00AB07B9"/>
    <w:rsid w:val="00AB11E7"/>
    <w:rsid w:val="00AB1BF8"/>
    <w:rsid w:val="00AB41F4"/>
    <w:rsid w:val="00AB4E5C"/>
    <w:rsid w:val="00AB4E91"/>
    <w:rsid w:val="00AC1207"/>
    <w:rsid w:val="00AC1E7E"/>
    <w:rsid w:val="00AC2809"/>
    <w:rsid w:val="00AC2EE5"/>
    <w:rsid w:val="00AC3790"/>
    <w:rsid w:val="00AC37A4"/>
    <w:rsid w:val="00AC3D47"/>
    <w:rsid w:val="00AC4448"/>
    <w:rsid w:val="00AC6D6D"/>
    <w:rsid w:val="00AD3349"/>
    <w:rsid w:val="00AD49AB"/>
    <w:rsid w:val="00AE01DE"/>
    <w:rsid w:val="00AE211D"/>
    <w:rsid w:val="00AE2629"/>
    <w:rsid w:val="00AE2A12"/>
    <w:rsid w:val="00AE357F"/>
    <w:rsid w:val="00AE36D9"/>
    <w:rsid w:val="00AE71C3"/>
    <w:rsid w:val="00AF298B"/>
    <w:rsid w:val="00AF5E5A"/>
    <w:rsid w:val="00AF6AA7"/>
    <w:rsid w:val="00B01927"/>
    <w:rsid w:val="00B02F66"/>
    <w:rsid w:val="00B0433A"/>
    <w:rsid w:val="00B0508E"/>
    <w:rsid w:val="00B0591A"/>
    <w:rsid w:val="00B13A0D"/>
    <w:rsid w:val="00B14D3F"/>
    <w:rsid w:val="00B16E3C"/>
    <w:rsid w:val="00B20866"/>
    <w:rsid w:val="00B23B07"/>
    <w:rsid w:val="00B245AC"/>
    <w:rsid w:val="00B246F7"/>
    <w:rsid w:val="00B253D1"/>
    <w:rsid w:val="00B30E04"/>
    <w:rsid w:val="00B32FE1"/>
    <w:rsid w:val="00B40972"/>
    <w:rsid w:val="00B41476"/>
    <w:rsid w:val="00B41742"/>
    <w:rsid w:val="00B41AAD"/>
    <w:rsid w:val="00B4242E"/>
    <w:rsid w:val="00B44A74"/>
    <w:rsid w:val="00B44A8C"/>
    <w:rsid w:val="00B51F1D"/>
    <w:rsid w:val="00B53420"/>
    <w:rsid w:val="00B54221"/>
    <w:rsid w:val="00B57E06"/>
    <w:rsid w:val="00B641B3"/>
    <w:rsid w:val="00B67675"/>
    <w:rsid w:val="00B82EE6"/>
    <w:rsid w:val="00B85543"/>
    <w:rsid w:val="00B91B21"/>
    <w:rsid w:val="00B91CE8"/>
    <w:rsid w:val="00B91DE2"/>
    <w:rsid w:val="00B93F62"/>
    <w:rsid w:val="00B95F26"/>
    <w:rsid w:val="00B974CE"/>
    <w:rsid w:val="00B976CD"/>
    <w:rsid w:val="00BA181D"/>
    <w:rsid w:val="00BA293E"/>
    <w:rsid w:val="00BA46B0"/>
    <w:rsid w:val="00BA5801"/>
    <w:rsid w:val="00BB330B"/>
    <w:rsid w:val="00BB3616"/>
    <w:rsid w:val="00BB524F"/>
    <w:rsid w:val="00BB5353"/>
    <w:rsid w:val="00BB6B85"/>
    <w:rsid w:val="00BC0C90"/>
    <w:rsid w:val="00BC4A5B"/>
    <w:rsid w:val="00BC67A7"/>
    <w:rsid w:val="00BD0A34"/>
    <w:rsid w:val="00BD3BFA"/>
    <w:rsid w:val="00BD3E83"/>
    <w:rsid w:val="00BD49B4"/>
    <w:rsid w:val="00BD6EAF"/>
    <w:rsid w:val="00BD7E87"/>
    <w:rsid w:val="00BE1940"/>
    <w:rsid w:val="00BE4A29"/>
    <w:rsid w:val="00BE50BE"/>
    <w:rsid w:val="00BF003D"/>
    <w:rsid w:val="00BF1108"/>
    <w:rsid w:val="00BF1A05"/>
    <w:rsid w:val="00BF2EFA"/>
    <w:rsid w:val="00BF3477"/>
    <w:rsid w:val="00BF436D"/>
    <w:rsid w:val="00BF54AC"/>
    <w:rsid w:val="00BF7844"/>
    <w:rsid w:val="00C00DA7"/>
    <w:rsid w:val="00C024E3"/>
    <w:rsid w:val="00C0398F"/>
    <w:rsid w:val="00C03C7C"/>
    <w:rsid w:val="00C04B7B"/>
    <w:rsid w:val="00C07197"/>
    <w:rsid w:val="00C137C4"/>
    <w:rsid w:val="00C20E66"/>
    <w:rsid w:val="00C20EED"/>
    <w:rsid w:val="00C23921"/>
    <w:rsid w:val="00C25437"/>
    <w:rsid w:val="00C26696"/>
    <w:rsid w:val="00C37B5F"/>
    <w:rsid w:val="00C43917"/>
    <w:rsid w:val="00C45C92"/>
    <w:rsid w:val="00C46AA9"/>
    <w:rsid w:val="00C50C12"/>
    <w:rsid w:val="00C560BB"/>
    <w:rsid w:val="00C56988"/>
    <w:rsid w:val="00C57851"/>
    <w:rsid w:val="00C578BD"/>
    <w:rsid w:val="00C57978"/>
    <w:rsid w:val="00C612DE"/>
    <w:rsid w:val="00C65EA5"/>
    <w:rsid w:val="00C704EB"/>
    <w:rsid w:val="00C71116"/>
    <w:rsid w:val="00C737F6"/>
    <w:rsid w:val="00C74B64"/>
    <w:rsid w:val="00C80ACE"/>
    <w:rsid w:val="00C83797"/>
    <w:rsid w:val="00C86927"/>
    <w:rsid w:val="00C90DD0"/>
    <w:rsid w:val="00C91F37"/>
    <w:rsid w:val="00C94386"/>
    <w:rsid w:val="00C94D50"/>
    <w:rsid w:val="00C961C5"/>
    <w:rsid w:val="00CA120E"/>
    <w:rsid w:val="00CA12F0"/>
    <w:rsid w:val="00CA400D"/>
    <w:rsid w:val="00CA4453"/>
    <w:rsid w:val="00CA44BC"/>
    <w:rsid w:val="00CA5FB7"/>
    <w:rsid w:val="00CA68B7"/>
    <w:rsid w:val="00CA734E"/>
    <w:rsid w:val="00CB1F9E"/>
    <w:rsid w:val="00CB3493"/>
    <w:rsid w:val="00CC066B"/>
    <w:rsid w:val="00CC2765"/>
    <w:rsid w:val="00CC3C74"/>
    <w:rsid w:val="00CC5D8D"/>
    <w:rsid w:val="00CC6972"/>
    <w:rsid w:val="00CC718E"/>
    <w:rsid w:val="00CC7D62"/>
    <w:rsid w:val="00CD4672"/>
    <w:rsid w:val="00CE279A"/>
    <w:rsid w:val="00CE4609"/>
    <w:rsid w:val="00CF09DC"/>
    <w:rsid w:val="00CF6280"/>
    <w:rsid w:val="00CF689F"/>
    <w:rsid w:val="00CF6975"/>
    <w:rsid w:val="00CF6B63"/>
    <w:rsid w:val="00CF6E24"/>
    <w:rsid w:val="00D0522D"/>
    <w:rsid w:val="00D06579"/>
    <w:rsid w:val="00D1055C"/>
    <w:rsid w:val="00D12391"/>
    <w:rsid w:val="00D15368"/>
    <w:rsid w:val="00D16554"/>
    <w:rsid w:val="00D16C11"/>
    <w:rsid w:val="00D21093"/>
    <w:rsid w:val="00D22F3D"/>
    <w:rsid w:val="00D26578"/>
    <w:rsid w:val="00D3034E"/>
    <w:rsid w:val="00D30CEC"/>
    <w:rsid w:val="00D340CB"/>
    <w:rsid w:val="00D370B2"/>
    <w:rsid w:val="00D37E96"/>
    <w:rsid w:val="00D429F2"/>
    <w:rsid w:val="00D44108"/>
    <w:rsid w:val="00D44416"/>
    <w:rsid w:val="00D44FA0"/>
    <w:rsid w:val="00D454C3"/>
    <w:rsid w:val="00D51E74"/>
    <w:rsid w:val="00D52AE4"/>
    <w:rsid w:val="00D54184"/>
    <w:rsid w:val="00D560A2"/>
    <w:rsid w:val="00D57179"/>
    <w:rsid w:val="00D6414E"/>
    <w:rsid w:val="00D6468D"/>
    <w:rsid w:val="00D661ED"/>
    <w:rsid w:val="00D67A0C"/>
    <w:rsid w:val="00D74DEB"/>
    <w:rsid w:val="00D7738C"/>
    <w:rsid w:val="00D80D70"/>
    <w:rsid w:val="00D82384"/>
    <w:rsid w:val="00D82CEA"/>
    <w:rsid w:val="00D85169"/>
    <w:rsid w:val="00D86C4E"/>
    <w:rsid w:val="00D900EE"/>
    <w:rsid w:val="00D903D3"/>
    <w:rsid w:val="00D9133E"/>
    <w:rsid w:val="00D917FB"/>
    <w:rsid w:val="00D941CB"/>
    <w:rsid w:val="00D970E8"/>
    <w:rsid w:val="00D975A5"/>
    <w:rsid w:val="00DA158A"/>
    <w:rsid w:val="00DA1FD2"/>
    <w:rsid w:val="00DA3FC8"/>
    <w:rsid w:val="00DA501C"/>
    <w:rsid w:val="00DA7E70"/>
    <w:rsid w:val="00DB2CD4"/>
    <w:rsid w:val="00DB3FA1"/>
    <w:rsid w:val="00DB45E6"/>
    <w:rsid w:val="00DB4990"/>
    <w:rsid w:val="00DC0B96"/>
    <w:rsid w:val="00DC33E6"/>
    <w:rsid w:val="00DC3F27"/>
    <w:rsid w:val="00DC5A48"/>
    <w:rsid w:val="00DC63A6"/>
    <w:rsid w:val="00DD26FD"/>
    <w:rsid w:val="00DD2D80"/>
    <w:rsid w:val="00DD7B8D"/>
    <w:rsid w:val="00DE050D"/>
    <w:rsid w:val="00DF022D"/>
    <w:rsid w:val="00DF1A57"/>
    <w:rsid w:val="00DF1B31"/>
    <w:rsid w:val="00DF2B1A"/>
    <w:rsid w:val="00DF3BD6"/>
    <w:rsid w:val="00DF44F9"/>
    <w:rsid w:val="00DF523C"/>
    <w:rsid w:val="00DF5AC3"/>
    <w:rsid w:val="00DF5E85"/>
    <w:rsid w:val="00E00006"/>
    <w:rsid w:val="00E03CE6"/>
    <w:rsid w:val="00E03DA3"/>
    <w:rsid w:val="00E05CB7"/>
    <w:rsid w:val="00E06448"/>
    <w:rsid w:val="00E108DA"/>
    <w:rsid w:val="00E1657C"/>
    <w:rsid w:val="00E17A94"/>
    <w:rsid w:val="00E2318C"/>
    <w:rsid w:val="00E23567"/>
    <w:rsid w:val="00E23779"/>
    <w:rsid w:val="00E26469"/>
    <w:rsid w:val="00E26489"/>
    <w:rsid w:val="00E33692"/>
    <w:rsid w:val="00E34E20"/>
    <w:rsid w:val="00E36143"/>
    <w:rsid w:val="00E4010E"/>
    <w:rsid w:val="00E43AD7"/>
    <w:rsid w:val="00E44B01"/>
    <w:rsid w:val="00E53F4F"/>
    <w:rsid w:val="00E6186C"/>
    <w:rsid w:val="00E63D88"/>
    <w:rsid w:val="00E66EE0"/>
    <w:rsid w:val="00E67234"/>
    <w:rsid w:val="00E70B32"/>
    <w:rsid w:val="00E716E7"/>
    <w:rsid w:val="00E73F2A"/>
    <w:rsid w:val="00E77AD5"/>
    <w:rsid w:val="00E82743"/>
    <w:rsid w:val="00E83269"/>
    <w:rsid w:val="00E84720"/>
    <w:rsid w:val="00E87317"/>
    <w:rsid w:val="00E87DB6"/>
    <w:rsid w:val="00E91A25"/>
    <w:rsid w:val="00E91A4E"/>
    <w:rsid w:val="00E951EF"/>
    <w:rsid w:val="00E97F95"/>
    <w:rsid w:val="00EA11B5"/>
    <w:rsid w:val="00EA168B"/>
    <w:rsid w:val="00EA1A78"/>
    <w:rsid w:val="00EA3B13"/>
    <w:rsid w:val="00EA44B2"/>
    <w:rsid w:val="00EA5C77"/>
    <w:rsid w:val="00EA5F78"/>
    <w:rsid w:val="00EA77AE"/>
    <w:rsid w:val="00EB12EF"/>
    <w:rsid w:val="00EB19A9"/>
    <w:rsid w:val="00EB4FB6"/>
    <w:rsid w:val="00EC02FD"/>
    <w:rsid w:val="00EC33CF"/>
    <w:rsid w:val="00EC36E9"/>
    <w:rsid w:val="00EC41DD"/>
    <w:rsid w:val="00EC730E"/>
    <w:rsid w:val="00ED0AB6"/>
    <w:rsid w:val="00ED1981"/>
    <w:rsid w:val="00ED43FA"/>
    <w:rsid w:val="00ED4736"/>
    <w:rsid w:val="00ED4E2C"/>
    <w:rsid w:val="00ED556D"/>
    <w:rsid w:val="00EE1EE8"/>
    <w:rsid w:val="00EE2725"/>
    <w:rsid w:val="00EE49A4"/>
    <w:rsid w:val="00EF55E3"/>
    <w:rsid w:val="00EF5B2A"/>
    <w:rsid w:val="00F009A9"/>
    <w:rsid w:val="00F015C0"/>
    <w:rsid w:val="00F02B29"/>
    <w:rsid w:val="00F03981"/>
    <w:rsid w:val="00F06B77"/>
    <w:rsid w:val="00F1259C"/>
    <w:rsid w:val="00F15A43"/>
    <w:rsid w:val="00F16826"/>
    <w:rsid w:val="00F216A6"/>
    <w:rsid w:val="00F242AD"/>
    <w:rsid w:val="00F26E9D"/>
    <w:rsid w:val="00F305B7"/>
    <w:rsid w:val="00F316E7"/>
    <w:rsid w:val="00F44E40"/>
    <w:rsid w:val="00F4507F"/>
    <w:rsid w:val="00F46C45"/>
    <w:rsid w:val="00F5765F"/>
    <w:rsid w:val="00F60058"/>
    <w:rsid w:val="00F64D08"/>
    <w:rsid w:val="00F65F9A"/>
    <w:rsid w:val="00F6660C"/>
    <w:rsid w:val="00F66976"/>
    <w:rsid w:val="00F70E30"/>
    <w:rsid w:val="00F77455"/>
    <w:rsid w:val="00F77856"/>
    <w:rsid w:val="00F77EF9"/>
    <w:rsid w:val="00F80B32"/>
    <w:rsid w:val="00F81669"/>
    <w:rsid w:val="00F87CF4"/>
    <w:rsid w:val="00F90D02"/>
    <w:rsid w:val="00F9102E"/>
    <w:rsid w:val="00F9178E"/>
    <w:rsid w:val="00F91FE1"/>
    <w:rsid w:val="00F92543"/>
    <w:rsid w:val="00F93843"/>
    <w:rsid w:val="00FA00E3"/>
    <w:rsid w:val="00FA028E"/>
    <w:rsid w:val="00FA19F3"/>
    <w:rsid w:val="00FA2929"/>
    <w:rsid w:val="00FA4FC3"/>
    <w:rsid w:val="00FA7C14"/>
    <w:rsid w:val="00FB64AD"/>
    <w:rsid w:val="00FB6C9C"/>
    <w:rsid w:val="00FC13B4"/>
    <w:rsid w:val="00FC33F2"/>
    <w:rsid w:val="00FC37C7"/>
    <w:rsid w:val="00FC4233"/>
    <w:rsid w:val="00FC6441"/>
    <w:rsid w:val="00FC7A35"/>
    <w:rsid w:val="00FD132E"/>
    <w:rsid w:val="00FD2483"/>
    <w:rsid w:val="00FD29D1"/>
    <w:rsid w:val="00FD5FE1"/>
    <w:rsid w:val="00FD6B66"/>
    <w:rsid w:val="00FE0098"/>
    <w:rsid w:val="00FE29B8"/>
    <w:rsid w:val="00FE29EA"/>
    <w:rsid w:val="00FE2DD5"/>
    <w:rsid w:val="00FE4EF0"/>
    <w:rsid w:val="00FE57DA"/>
    <w:rsid w:val="00FE6035"/>
    <w:rsid w:val="00FE6BE3"/>
    <w:rsid w:val="00FF2C95"/>
    <w:rsid w:val="018C519F"/>
    <w:rsid w:val="10C45BD7"/>
    <w:rsid w:val="145C4EA5"/>
    <w:rsid w:val="2548448F"/>
    <w:rsid w:val="266D6A9E"/>
    <w:rsid w:val="279026B0"/>
    <w:rsid w:val="28360FAD"/>
    <w:rsid w:val="2AF47A25"/>
    <w:rsid w:val="31AC0DC2"/>
    <w:rsid w:val="36B35B87"/>
    <w:rsid w:val="38834637"/>
    <w:rsid w:val="3C2E1645"/>
    <w:rsid w:val="40C177D6"/>
    <w:rsid w:val="416F1796"/>
    <w:rsid w:val="4B2C5812"/>
    <w:rsid w:val="57007337"/>
    <w:rsid w:val="66D71736"/>
    <w:rsid w:val="6FE142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jc w:val="both"/>
    </w:pPr>
    <w:rPr>
      <w:rFonts w:ascii="仿宋_GB2312" w:eastAsia="仿宋_GB2312" w:hAnsiTheme="minorHAnsi" w:cstheme="minorBidi"/>
      <w:kern w:val="2"/>
      <w:sz w:val="32"/>
      <w:szCs w:val="24"/>
      <w:lang w:val="en-US" w:eastAsia="zh-CN" w:bidi="ar-SA"/>
    </w:rPr>
  </w:style>
  <w:style w:type="paragraph" w:styleId="2">
    <w:name w:val="heading 1"/>
    <w:basedOn w:val="1"/>
    <w:next w:val="1"/>
    <w:link w:val="21"/>
    <w:qFormat/>
    <w:uiPriority w:val="9"/>
    <w:pPr>
      <w:ind w:left="200" w:leftChars="200"/>
      <w:outlineLvl w:val="0"/>
    </w:pPr>
    <w:rPr>
      <w:rFonts w:ascii="黑体" w:eastAsia="黑体"/>
      <w:b/>
      <w:bCs/>
      <w:kern w:val="44"/>
      <w:szCs w:val="44"/>
    </w:rPr>
  </w:style>
  <w:style w:type="paragraph" w:styleId="3">
    <w:name w:val="heading 2"/>
    <w:basedOn w:val="1"/>
    <w:next w:val="1"/>
    <w:link w:val="22"/>
    <w:unhideWhenUsed/>
    <w:qFormat/>
    <w:uiPriority w:val="9"/>
    <w:pPr>
      <w:ind w:left="200" w:leftChars="200"/>
      <w:outlineLvl w:val="1"/>
    </w:pPr>
    <w:rPr>
      <w:rFonts w:ascii="楷体_GB2312" w:eastAsia="楷体_GB2312" w:hAnsiTheme="majorHAnsi" w:cstheme="majorBidi"/>
      <w:b/>
      <w:bCs/>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4">
    <w:name w:val="toc 7"/>
    <w:basedOn w:val="1"/>
    <w:next w:val="1"/>
    <w:autoRedefine/>
    <w:unhideWhenUsed/>
    <w:qFormat/>
    <w:uiPriority w:val="39"/>
    <w:pPr>
      <w:spacing w:line="240" w:lineRule="auto"/>
      <w:ind w:left="2520" w:leftChars="1200"/>
    </w:pPr>
    <w:rPr>
      <w:rFonts w:asciiTheme="minorHAnsi" w:eastAsiaTheme="minorEastAsia"/>
      <w:sz w:val="21"/>
      <w:szCs w:val="22"/>
    </w:rPr>
  </w:style>
  <w:style w:type="paragraph" w:styleId="5">
    <w:name w:val="toc 5"/>
    <w:basedOn w:val="1"/>
    <w:next w:val="1"/>
    <w:autoRedefine/>
    <w:unhideWhenUsed/>
    <w:qFormat/>
    <w:uiPriority w:val="39"/>
    <w:pPr>
      <w:spacing w:line="240" w:lineRule="auto"/>
      <w:ind w:left="1680" w:leftChars="800"/>
    </w:pPr>
    <w:rPr>
      <w:rFonts w:asciiTheme="minorHAnsi" w:eastAsiaTheme="minorEastAsia"/>
      <w:sz w:val="21"/>
      <w:szCs w:val="22"/>
    </w:rPr>
  </w:style>
  <w:style w:type="paragraph" w:styleId="6">
    <w:name w:val="toc 3"/>
    <w:basedOn w:val="1"/>
    <w:next w:val="1"/>
    <w:autoRedefine/>
    <w:unhideWhenUsed/>
    <w:qFormat/>
    <w:uiPriority w:val="39"/>
    <w:pPr>
      <w:spacing w:line="240" w:lineRule="auto"/>
      <w:ind w:left="840" w:leftChars="400"/>
    </w:pPr>
    <w:rPr>
      <w:rFonts w:asciiTheme="minorHAnsi" w:eastAsiaTheme="minorEastAsia"/>
      <w:sz w:val="21"/>
      <w:szCs w:val="22"/>
    </w:rPr>
  </w:style>
  <w:style w:type="paragraph" w:styleId="7">
    <w:name w:val="toc 8"/>
    <w:basedOn w:val="1"/>
    <w:next w:val="1"/>
    <w:autoRedefine/>
    <w:unhideWhenUsed/>
    <w:qFormat/>
    <w:uiPriority w:val="39"/>
    <w:pPr>
      <w:spacing w:line="240" w:lineRule="auto"/>
      <w:ind w:left="2940" w:leftChars="1400"/>
    </w:pPr>
    <w:rPr>
      <w:rFonts w:asciiTheme="minorHAnsi" w:eastAsiaTheme="minorEastAsia"/>
      <w:sz w:val="21"/>
      <w:szCs w:val="22"/>
    </w:rPr>
  </w:style>
  <w:style w:type="paragraph" w:styleId="8">
    <w:name w:val="Balloon Text"/>
    <w:basedOn w:val="1"/>
    <w:link w:val="33"/>
    <w:semiHidden/>
    <w:unhideWhenUsed/>
    <w:qFormat/>
    <w:uiPriority w:val="99"/>
    <w:pPr>
      <w:spacing w:line="240" w:lineRule="auto"/>
    </w:pPr>
    <w:rPr>
      <w:sz w:val="18"/>
      <w:szCs w:val="18"/>
    </w:rPr>
  </w:style>
  <w:style w:type="paragraph" w:styleId="9">
    <w:name w:val="footer"/>
    <w:basedOn w:val="1"/>
    <w:link w:val="25"/>
    <w:unhideWhenUsed/>
    <w:qFormat/>
    <w:uiPriority w:val="99"/>
    <w:pPr>
      <w:tabs>
        <w:tab w:val="center" w:pos="4153"/>
        <w:tab w:val="right" w:pos="8306"/>
      </w:tabs>
      <w:snapToGrid w:val="0"/>
      <w:spacing w:line="240" w:lineRule="atLeast"/>
      <w:jc w:val="left"/>
    </w:pPr>
    <w:rPr>
      <w:sz w:val="18"/>
      <w:szCs w:val="18"/>
    </w:rPr>
  </w:style>
  <w:style w:type="paragraph" w:styleId="10">
    <w:name w:val="header"/>
    <w:basedOn w:val="1"/>
    <w:link w:val="24"/>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1">
    <w:name w:val="toc 1"/>
    <w:basedOn w:val="1"/>
    <w:next w:val="1"/>
    <w:autoRedefine/>
    <w:unhideWhenUsed/>
    <w:qFormat/>
    <w:uiPriority w:val="39"/>
  </w:style>
  <w:style w:type="paragraph" w:styleId="12">
    <w:name w:val="toc 4"/>
    <w:basedOn w:val="1"/>
    <w:next w:val="1"/>
    <w:autoRedefine/>
    <w:unhideWhenUsed/>
    <w:qFormat/>
    <w:uiPriority w:val="39"/>
    <w:pPr>
      <w:spacing w:line="240" w:lineRule="auto"/>
      <w:ind w:left="1260" w:leftChars="600"/>
    </w:pPr>
    <w:rPr>
      <w:rFonts w:asciiTheme="minorHAnsi" w:eastAsiaTheme="minorEastAsia"/>
      <w:sz w:val="21"/>
      <w:szCs w:val="22"/>
    </w:rPr>
  </w:style>
  <w:style w:type="paragraph" w:styleId="13">
    <w:name w:val="toc 6"/>
    <w:basedOn w:val="1"/>
    <w:next w:val="1"/>
    <w:autoRedefine/>
    <w:unhideWhenUsed/>
    <w:qFormat/>
    <w:uiPriority w:val="39"/>
    <w:pPr>
      <w:spacing w:line="240" w:lineRule="auto"/>
      <w:ind w:left="2100" w:leftChars="1000"/>
    </w:pPr>
    <w:rPr>
      <w:rFonts w:asciiTheme="minorHAnsi" w:eastAsiaTheme="minorEastAsia"/>
      <w:sz w:val="21"/>
      <w:szCs w:val="22"/>
    </w:rPr>
  </w:style>
  <w:style w:type="paragraph" w:styleId="14">
    <w:name w:val="toc 2"/>
    <w:basedOn w:val="1"/>
    <w:next w:val="1"/>
    <w:autoRedefine/>
    <w:unhideWhenUsed/>
    <w:qFormat/>
    <w:uiPriority w:val="39"/>
    <w:pPr>
      <w:ind w:left="420" w:leftChars="200"/>
    </w:pPr>
  </w:style>
  <w:style w:type="paragraph" w:styleId="15">
    <w:name w:val="toc 9"/>
    <w:basedOn w:val="1"/>
    <w:next w:val="1"/>
    <w:autoRedefine/>
    <w:unhideWhenUsed/>
    <w:qFormat/>
    <w:uiPriority w:val="39"/>
    <w:pPr>
      <w:spacing w:line="240" w:lineRule="auto"/>
      <w:ind w:left="3360" w:leftChars="1600"/>
    </w:pPr>
    <w:rPr>
      <w:rFonts w:asciiTheme="minorHAnsi" w:eastAsiaTheme="minorEastAsia"/>
      <w:sz w:val="21"/>
      <w:szCs w:val="22"/>
    </w:rPr>
  </w:style>
  <w:style w:type="paragraph" w:styleId="16">
    <w:name w:val="Normal (Web)"/>
    <w:basedOn w:val="1"/>
    <w:qFormat/>
    <w:uiPriority w:val="0"/>
    <w:pPr>
      <w:spacing w:line="240" w:lineRule="auto"/>
    </w:pPr>
    <w:rPr>
      <w:rFonts w:ascii="Times New Roman" w:hAnsi="Times New Roman" w:eastAsiaTheme="minorEastAsia"/>
      <w:sz w:val="24"/>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unhideWhenUsed/>
    <w:qFormat/>
    <w:uiPriority w:val="99"/>
    <w:rPr>
      <w:color w:val="0563C1" w:themeColor="hyperlink"/>
      <w:u w:val="single"/>
      <w14:textFill>
        <w14:solidFill>
          <w14:schemeClr w14:val="hlink"/>
        </w14:solidFill>
      </w14:textFill>
    </w:rPr>
  </w:style>
  <w:style w:type="character" w:customStyle="1" w:styleId="21">
    <w:name w:val="标题 1 字符"/>
    <w:basedOn w:val="19"/>
    <w:link w:val="2"/>
    <w:qFormat/>
    <w:uiPriority w:val="9"/>
    <w:rPr>
      <w:rFonts w:ascii="黑体" w:eastAsia="黑体"/>
      <w:b/>
      <w:bCs/>
      <w:kern w:val="44"/>
      <w:sz w:val="32"/>
      <w:szCs w:val="44"/>
    </w:rPr>
  </w:style>
  <w:style w:type="character" w:customStyle="1" w:styleId="22">
    <w:name w:val="标题 2 字符"/>
    <w:basedOn w:val="19"/>
    <w:link w:val="3"/>
    <w:qFormat/>
    <w:uiPriority w:val="9"/>
    <w:rPr>
      <w:rFonts w:ascii="楷体_GB2312" w:eastAsia="楷体_GB2312" w:hAnsiTheme="majorHAnsi" w:cstheme="majorBidi"/>
      <w:b/>
      <w:bCs/>
      <w:sz w:val="32"/>
      <w:szCs w:val="32"/>
    </w:rPr>
  </w:style>
  <w:style w:type="paragraph" w:customStyle="1" w:styleId="23">
    <w:name w:val="TOC 标题1"/>
    <w:basedOn w:val="2"/>
    <w:next w:val="1"/>
    <w:unhideWhenUsed/>
    <w:qFormat/>
    <w:uiPriority w:val="39"/>
    <w:pPr>
      <w:keepNext/>
      <w:keepLines/>
      <w:widowControl/>
      <w:spacing w:before="240" w:line="259" w:lineRule="auto"/>
      <w:ind w:left="0" w:leftChars="0"/>
      <w:jc w:val="left"/>
      <w:outlineLvl w:val="9"/>
    </w:pPr>
    <w:rPr>
      <w:rFonts w:asciiTheme="majorHAnsi" w:hAnsiTheme="majorHAnsi" w:eastAsiaTheme="majorEastAsia" w:cstheme="majorBidi"/>
      <w:b w:val="0"/>
      <w:bCs w:val="0"/>
      <w:color w:val="2F5597" w:themeColor="accent1" w:themeShade="BF"/>
      <w:kern w:val="0"/>
      <w:szCs w:val="32"/>
    </w:rPr>
  </w:style>
  <w:style w:type="character" w:customStyle="1" w:styleId="24">
    <w:name w:val="页眉 字符"/>
    <w:basedOn w:val="19"/>
    <w:link w:val="10"/>
    <w:qFormat/>
    <w:uiPriority w:val="99"/>
    <w:rPr>
      <w:rFonts w:ascii="仿宋_GB2312" w:eastAsia="仿宋_GB2312"/>
      <w:sz w:val="18"/>
      <w:szCs w:val="18"/>
    </w:rPr>
  </w:style>
  <w:style w:type="character" w:customStyle="1" w:styleId="25">
    <w:name w:val="页脚 字符"/>
    <w:basedOn w:val="19"/>
    <w:link w:val="9"/>
    <w:qFormat/>
    <w:uiPriority w:val="99"/>
    <w:rPr>
      <w:rFonts w:ascii="仿宋_GB2312" w:eastAsia="仿宋_GB2312"/>
      <w:sz w:val="18"/>
      <w:szCs w:val="18"/>
    </w:rPr>
  </w:style>
  <w:style w:type="paragraph" w:styleId="26">
    <w:name w:val="No Spacing"/>
    <w:link w:val="27"/>
    <w:qFormat/>
    <w:uiPriority w:val="1"/>
    <w:rPr>
      <w:rFonts w:asciiTheme="minorHAnsi" w:hAnsiTheme="minorHAnsi" w:eastAsiaTheme="minorEastAsia" w:cstheme="minorBidi"/>
      <w:sz w:val="22"/>
      <w:szCs w:val="22"/>
      <w:lang w:val="en-US" w:eastAsia="zh-CN" w:bidi="ar-SA"/>
    </w:rPr>
  </w:style>
  <w:style w:type="character" w:customStyle="1" w:styleId="27">
    <w:name w:val="无间隔 字符"/>
    <w:basedOn w:val="19"/>
    <w:link w:val="26"/>
    <w:qFormat/>
    <w:uiPriority w:val="1"/>
    <w:rPr>
      <w:kern w:val="0"/>
      <w:sz w:val="22"/>
    </w:rPr>
  </w:style>
  <w:style w:type="character" w:customStyle="1" w:styleId="28">
    <w:name w:val="font51"/>
    <w:qFormat/>
    <w:uiPriority w:val="0"/>
    <w:rPr>
      <w:rFonts w:hint="eastAsia" w:ascii="宋体" w:hAnsi="宋体" w:eastAsia="宋体" w:cs="宋体"/>
      <w:b/>
      <w:color w:val="4BACC6"/>
      <w:sz w:val="22"/>
      <w:szCs w:val="22"/>
      <w:u w:val="none"/>
    </w:rPr>
  </w:style>
  <w:style w:type="character" w:customStyle="1" w:styleId="29">
    <w:name w:val="font31"/>
    <w:qFormat/>
    <w:uiPriority w:val="0"/>
    <w:rPr>
      <w:rFonts w:hint="eastAsia" w:ascii="宋体" w:hAnsi="宋体" w:eastAsia="宋体" w:cs="宋体"/>
      <w:color w:val="C00000"/>
      <w:sz w:val="22"/>
      <w:szCs w:val="22"/>
      <w:u w:val="none"/>
    </w:rPr>
  </w:style>
  <w:style w:type="character" w:customStyle="1" w:styleId="30">
    <w:name w:val="font11"/>
    <w:qFormat/>
    <w:uiPriority w:val="0"/>
    <w:rPr>
      <w:rFonts w:hint="eastAsia" w:ascii="宋体" w:hAnsi="宋体" w:eastAsia="宋体" w:cs="宋体"/>
      <w:b/>
      <w:color w:val="000000"/>
      <w:sz w:val="22"/>
      <w:szCs w:val="22"/>
      <w:u w:val="none"/>
    </w:rPr>
  </w:style>
  <w:style w:type="character" w:customStyle="1" w:styleId="31">
    <w:name w:val="font91"/>
    <w:qFormat/>
    <w:uiPriority w:val="0"/>
    <w:rPr>
      <w:rFonts w:hint="default" w:ascii="Times New Roman" w:hAnsi="Times New Roman" w:cs="Times New Roman"/>
      <w:b/>
      <w:color w:val="4BACC6"/>
      <w:sz w:val="22"/>
      <w:szCs w:val="22"/>
      <w:u w:val="none"/>
    </w:rPr>
  </w:style>
  <w:style w:type="character" w:customStyle="1" w:styleId="32">
    <w:name w:val="未处理的提及1"/>
    <w:basedOn w:val="19"/>
    <w:semiHidden/>
    <w:unhideWhenUsed/>
    <w:qFormat/>
    <w:uiPriority w:val="99"/>
    <w:rPr>
      <w:color w:val="605E5C"/>
      <w:shd w:val="clear" w:color="auto" w:fill="E1DFDD"/>
    </w:rPr>
  </w:style>
  <w:style w:type="character" w:customStyle="1" w:styleId="33">
    <w:name w:val="批注框文本 字符"/>
    <w:basedOn w:val="19"/>
    <w:link w:val="8"/>
    <w:semiHidden/>
    <w:qFormat/>
    <w:uiPriority w:val="99"/>
    <w:rPr>
      <w:rFonts w:ascii="仿宋_GB2312" w:eastAsia="仿宋_GB2312"/>
      <w:sz w:val="18"/>
      <w:szCs w:val="18"/>
    </w:rPr>
  </w:style>
  <w:style w:type="paragraph" w:styleId="34">
    <w:name w:val="List Paragraph"/>
    <w:basedOn w:val="1"/>
    <w:unhideWhenUsed/>
    <w:qFormat/>
    <w:uiPriority w:val="99"/>
    <w:pPr>
      <w:ind w:firstLine="420" w:firstLineChars="200"/>
    </w:pPr>
  </w:style>
  <w:style w:type="table" w:customStyle="1" w:styleId="35">
    <w:name w:val="网格表 4 - 着色 51"/>
    <w:basedOn w:val="17"/>
    <w:qFormat/>
    <w:uiPriority w:val="49"/>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val="FFFFFF" w:themeColor="background1"/>
        <w14:textFill>
          <w14:solidFill>
            <w14:schemeClr w14:val="bg1"/>
          </w14:solidFill>
        </w14:textFill>
      </w:r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cPr>
        <w:tcBorders>
          <w:top w:val="double" w:color="5B9BD5" w:themeColor="accent5" w:sz="4" w:space="0"/>
        </w:tcBorders>
      </w:tc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table" w:customStyle="1" w:styleId="36">
    <w:name w:val="网格表 6 彩色 - 着色 51"/>
    <w:basedOn w:val="17"/>
    <w:qFormat/>
    <w:uiPriority w:val="51"/>
    <w:rPr>
      <w:color w:val="2E75B6" w:themeColor="accent5" w:themeShade="BF"/>
    </w:rPr>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rPr>
      <w:tcPr>
        <w:tcBorders>
          <w:bottom w:val="single" w:color="9CC2E5" w:themeColor="accent5" w:themeTint="99" w:sz="12" w:space="0"/>
        </w:tcBorders>
      </w:tcPr>
    </w:tblStylePr>
    <w:tblStylePr w:type="lastRow">
      <w:rPr>
        <w:b/>
        <w:bCs/>
      </w:rPr>
      <w:tcPr>
        <w:tcBorders>
          <w:top w:val="double" w:color="9CC2E5" w:themeColor="accent5" w:themeTint="99" w:sz="4" w:space="0"/>
        </w:tcBorders>
      </w:tc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chart" Target="charts/chart1.xml"/><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pieChart>
        <c:varyColors val="1"/>
        <c:ser>
          <c:idx val="0"/>
          <c:order val="0"/>
          <c:tx>
            <c:strRef>
              <c:f>Sheet1!$B$1</c:f>
              <c:strCache>
                <c:ptCount val="1"/>
                <c:pt idx="0">
                  <c:v>毕业生去向</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2"/>
              <c:layout>
                <c:manualLayout>
                  <c:x val="-0.069446098868374"/>
                  <c:y val="0.00732352865985517"/>
                </c:manualLayout>
              </c:layout>
              <c:tx>
                <c:rich>
                  <a:bodyPr rot="0" spcFirstLastPara="0" vertOverflow="ellipsis" vert="horz" wrap="square" lIns="38100" tIns="19050" rIns="38100" bIns="19050" anchor="ctr" anchorCtr="1"/>
                  <a:lstStyle/>
                  <a:p>
                    <a:pPr>
                      <a:defRPr lang="zh-CN" sz="1050" b="0" i="0" u="none" strike="noStrike" kern="1200" baseline="0">
                        <a:solidFill>
                          <a:sysClr val="windowText" lastClr="000000"/>
                        </a:solidFill>
                        <a:latin typeface="微软雅黑" panose="020B0503020204020204" pitchFamily="2" charset="-122"/>
                        <a:ea typeface="微软雅黑" panose="020B0503020204020204" pitchFamily="2" charset="-122"/>
                        <a:cs typeface="+mn-cs"/>
                      </a:defRPr>
                    </a:pPr>
                    <a:r>
                      <a:rPr lang="zh-CN" altLang="en-US"/>
                      <a:t>升入本科</a:t>
                    </a:r>
                    <a:r>
                      <a:rPr lang="en-US" altLang="zh-CN"/>
                      <a:t>, 75</a:t>
                    </a:r>
                    <a:endParaRPr lang="en-US" altLang="zh-CN"/>
                  </a:p>
                </c:rich>
              </c:tx>
              <c:dLblPos val="bestFi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50" b="0" i="0" u="none" strike="noStrike" kern="1200" baseline="0">
                    <a:solidFill>
                      <a:sysClr val="windowText" lastClr="000000"/>
                    </a:solidFill>
                    <a:latin typeface="微软雅黑" panose="020B0503020204020204" pitchFamily="2" charset="-122"/>
                    <a:ea typeface="微软雅黑" panose="020B0503020204020204" pitchFamily="2" charset="-122"/>
                    <a:cs typeface="+mn-cs"/>
                  </a:defRPr>
                </a:pPr>
              </a:p>
            </c:txPr>
            <c:dLblPos val="out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灵活就业</c:v>
                </c:pt>
                <c:pt idx="1">
                  <c:v>自主创业</c:v>
                </c:pt>
                <c:pt idx="2">
                  <c:v>升入本科</c:v>
                </c:pt>
                <c:pt idx="3">
                  <c:v>升入专科</c:v>
                </c:pt>
                <c:pt idx="4">
                  <c:v>未就业</c:v>
                </c:pt>
              </c:strCache>
            </c:strRef>
          </c:cat>
          <c:val>
            <c:numRef>
              <c:f>Sheet1!$B$2:$B$6</c:f>
              <c:numCache>
                <c:formatCode>General</c:formatCode>
                <c:ptCount val="5"/>
                <c:pt idx="0">
                  <c:v>370</c:v>
                </c:pt>
                <c:pt idx="1">
                  <c:v>2</c:v>
                </c:pt>
                <c:pt idx="2">
                  <c:v>71</c:v>
                </c:pt>
                <c:pt idx="3">
                  <c:v>680</c:v>
                </c:pt>
                <c:pt idx="4">
                  <c:v>2</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c737fd35-5ac7-4e3a-814d-81641eb62a5d}"/>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6EE971-822C-48E4-A59E-457A99469DA4}">
  <ds:schemaRefs/>
</ds:datastoreItem>
</file>

<file path=docProps/app.xml><?xml version="1.0" encoding="utf-8"?>
<Properties xmlns="http://schemas.openxmlformats.org/officeDocument/2006/extended-properties" xmlns:vt="http://schemas.openxmlformats.org/officeDocument/2006/docPropsVTypes">
  <Template>Normal.dotm</Template>
  <Pages>47</Pages>
  <Words>13624</Words>
  <Characters>14462</Characters>
  <Lines>1038</Lines>
  <Paragraphs>1181</Paragraphs>
  <TotalTime>3</TotalTime>
  <ScaleCrop>false</ScaleCrop>
  <LinksUpToDate>false</LinksUpToDate>
  <CharactersWithSpaces>14711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2022-12-13T08:33:00Z</dcterms:created>
  <dc:creator>钟 如玥</dc:creator>
  <cp:lastModifiedBy>1111</cp:lastModifiedBy>
  <cp:lastPrinted>2025-12-08T01:49:00Z</cp:lastPrinted>
  <dcterms:modified xsi:type="dcterms:W3CDTF">2025-12-16T03:49:06Z</dcterms:modified>
  <cp:revision>481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eyJoZGlkIjoiZTg2YWQxY2UzYjJhYmYxNzBiN2M2YTI0YWU2MmMwZTYiLCJ1c2VySWQiOiI5MDAyNDQ2NDYifQ==</vt:lpwstr>
  </property>
  <property fmtid="{D5CDD505-2E9C-101B-9397-08002B2CF9AE}" pid="3" name="KSOProductBuildVer">
    <vt:lpwstr>2052-12.1.0.24034</vt:lpwstr>
  </property>
  <property fmtid="{D5CDD505-2E9C-101B-9397-08002B2CF9AE}" pid="4" name="ICV">
    <vt:lpwstr>55079F5A17364AD1B501D58FE281F13A_13</vt:lpwstr>
  </property>
</Properties>
</file>